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AF" w:rsidRPr="00CA771B" w:rsidRDefault="00891EAF" w:rsidP="00891EAF">
      <w:pPr>
        <w:tabs>
          <w:tab w:val="left" w:pos="1949"/>
        </w:tabs>
        <w:spacing w:line="360" w:lineRule="auto"/>
        <w:jc w:val="center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KISA ÜRÜN BİLGİSİ</w:t>
      </w:r>
    </w:p>
    <w:p w:rsidR="00984BEE" w:rsidRPr="00CA771B" w:rsidRDefault="00984BEE" w:rsidP="003B380E">
      <w:pPr>
        <w:tabs>
          <w:tab w:val="left" w:pos="1949"/>
        </w:tabs>
        <w:spacing w:line="360" w:lineRule="auto"/>
        <w:jc w:val="center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1. BEŞERİ TIBBİ ÜRÜNÜN ADI</w:t>
      </w:r>
    </w:p>
    <w:p w:rsidR="00891EAF" w:rsidRPr="00CA771B" w:rsidRDefault="00891EAF" w:rsidP="00891EA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DODEX 1000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/ml İ.M. Ampul</w:t>
      </w:r>
    </w:p>
    <w:p w:rsidR="00B245A5" w:rsidRPr="00CA771B" w:rsidRDefault="00B245A5" w:rsidP="00FE5A05">
      <w:pPr>
        <w:spacing w:line="276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 xml:space="preserve"> </w:t>
      </w:r>
    </w:p>
    <w:p w:rsidR="000D63CD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2. KALİTATİF VE KANTİTATİF BİLEŞİM</w:t>
      </w:r>
    </w:p>
    <w:p w:rsidR="00157E16" w:rsidRPr="00CA771B" w:rsidRDefault="00157E16" w:rsidP="00157E16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 xml:space="preserve">Her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>bir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 xml:space="preserve"> 1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>ml’lik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>ampul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>solüsyonu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>;</w:t>
      </w:r>
    </w:p>
    <w:p w:rsidR="00891EAF" w:rsidRPr="00CA771B" w:rsidRDefault="00891EAF" w:rsidP="00157E16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Ekin madde:</w:t>
      </w:r>
    </w:p>
    <w:p w:rsidR="00891EAF" w:rsidRPr="00CA771B" w:rsidRDefault="0027481A" w:rsidP="00157E16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vitamini (</w:t>
      </w:r>
      <w:proofErr w:type="spellStart"/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Siyanokobalamin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)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1000</w:t>
      </w:r>
      <w:r w:rsidR="00157E1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157E1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c</w:t>
      </w:r>
      <w:r w:rsidR="00157E1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g</w:t>
      </w:r>
      <w:proofErr w:type="spellEnd"/>
      <w:r w:rsidR="00157E1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</w:p>
    <w:p w:rsidR="00891EAF" w:rsidRPr="00CA771B" w:rsidRDefault="00891EAF" w:rsidP="00157E16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Yardımcı madde:</w:t>
      </w:r>
    </w:p>
    <w:p w:rsidR="00891EAF" w:rsidRPr="00CA771B" w:rsidRDefault="00891EAF" w:rsidP="00157E16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Benzil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alkol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27481A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      </w:t>
      </w:r>
      <w:r w:rsidR="0002567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15,0 mg</w:t>
      </w:r>
    </w:p>
    <w:p w:rsidR="00891EAF" w:rsidRPr="00CA771B" w:rsidRDefault="00891EAF" w:rsidP="00157E16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Sodyum klorür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27481A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    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</w:t>
      </w:r>
      <w:r w:rsidR="0002567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9,0 mg</w:t>
      </w:r>
    </w:p>
    <w:p w:rsidR="00157E16" w:rsidRPr="00CA771B" w:rsidRDefault="009D16F7" w:rsidP="00157E16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Y</w:t>
      </w:r>
      <w:r w:rsidR="00157E1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ardımcı maddeler için, Bkz. </w:t>
      </w:r>
      <w:proofErr w:type="gramStart"/>
      <w:r w:rsidR="00157E1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6.1</w:t>
      </w:r>
      <w:proofErr w:type="gramEnd"/>
      <w:r w:rsidR="007E7C2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.</w:t>
      </w:r>
    </w:p>
    <w:p w:rsidR="005B1389" w:rsidRPr="00CA771B" w:rsidRDefault="005B1389" w:rsidP="00FE5A05">
      <w:pPr>
        <w:keepNext/>
        <w:spacing w:line="276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keepNext/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3. FARMASÖTİK FORM</w:t>
      </w:r>
    </w:p>
    <w:p w:rsidR="002B7DA9" w:rsidRPr="00CA771B" w:rsidRDefault="002B7DA9" w:rsidP="002B7DA9">
      <w:pPr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1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ml’lik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ampul solüsyonu;</w:t>
      </w:r>
    </w:p>
    <w:p w:rsidR="002B7DA9" w:rsidRPr="00CA771B" w:rsidRDefault="002B7DA9" w:rsidP="002B7DA9">
      <w:pPr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Kırmızı, berrak solüsyon.</w:t>
      </w:r>
      <w:proofErr w:type="gramEnd"/>
    </w:p>
    <w:p w:rsidR="00B245A5" w:rsidRPr="00CA771B" w:rsidRDefault="00B245A5" w:rsidP="00FE5A0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de-DE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4. KLİNİK ÖZELLİKLER</w:t>
      </w:r>
    </w:p>
    <w:p w:rsidR="00604C8B" w:rsidRPr="00CA771B" w:rsidRDefault="005B1389" w:rsidP="003B380E">
      <w:pPr>
        <w:keepNext/>
        <w:spacing w:line="360" w:lineRule="auto"/>
        <w:jc w:val="both"/>
        <w:outlineLvl w:val="1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4.1 </w:t>
      </w: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Terapötik</w:t>
      </w:r>
      <w:proofErr w:type="spellEnd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</w:t>
      </w: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endikasyonlar</w:t>
      </w:r>
      <w:proofErr w:type="spellEnd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</w:t>
      </w:r>
    </w:p>
    <w:p w:rsidR="007E7C23" w:rsidRPr="00CA771B" w:rsidRDefault="00AC3706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DODEX </w:t>
      </w:r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1000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/ml İ.M. Ampul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pernisiyöz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anemi, 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vitamini eksikliğinden kaynaklanan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hiperkrom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makrositer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trigeminus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n</w:t>
      </w:r>
      <w:r w:rsidR="0098587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evraljisi, siyatik, akut </w:t>
      </w:r>
      <w:proofErr w:type="spellStart"/>
      <w:r w:rsidR="0098587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nevrit</w:t>
      </w:r>
      <w:proofErr w:type="spellEnd"/>
      <w:r w:rsidR="0098587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, n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evralji</w:t>
      </w:r>
      <w:r w:rsidR="007E7C2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, zona ve </w:t>
      </w:r>
      <w:proofErr w:type="spellStart"/>
      <w:r w:rsidR="007E7C2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interkostal</w:t>
      </w:r>
      <w:proofErr w:type="spellEnd"/>
      <w:r w:rsidR="007E7C2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nevraljilerde </w:t>
      </w:r>
      <w:proofErr w:type="spellStart"/>
      <w:r w:rsidR="007E7C2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antinevraljik</w:t>
      </w:r>
      <w:proofErr w:type="spellEnd"/>
      <w:r w:rsidR="007E7C2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olarak tedavi amaçlı kullanılır.</w:t>
      </w:r>
    </w:p>
    <w:p w:rsidR="007E7C23" w:rsidRPr="00CA771B" w:rsidRDefault="007E7C23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Ayrıca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Schilling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testinde de teşhis amaçlı olarak kullanılır.</w:t>
      </w:r>
    </w:p>
    <w:p w:rsidR="00C436CC" w:rsidRPr="00CA771B" w:rsidRDefault="00C436CC" w:rsidP="00FE5A05">
      <w:pPr>
        <w:spacing w:line="276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4.2 </w:t>
      </w: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Pozoloji</w:t>
      </w:r>
      <w:proofErr w:type="spellEnd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ve uygulama şekli </w:t>
      </w:r>
    </w:p>
    <w:p w:rsidR="00CE45F3" w:rsidRPr="00CA771B" w:rsidRDefault="00CE45F3" w:rsidP="003B380E">
      <w:pPr>
        <w:spacing w:line="360" w:lineRule="auto"/>
        <w:jc w:val="both"/>
        <w:rPr>
          <w:rFonts w:ascii="Times New Roman" w:hAnsi="Times New Roman"/>
          <w:bCs/>
          <w:i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Pozoloji</w:t>
      </w:r>
      <w:proofErr w:type="spellEnd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/ Uygulama sıklığı ve süresi:</w:t>
      </w:r>
    </w:p>
    <w:p w:rsidR="0096373C" w:rsidRPr="00CA771B" w:rsidRDefault="0096373C" w:rsidP="0096373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Akut nevraljilerde günde 500-1000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İ.M. olarak verilir. Akut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nevrit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ve nevraljilerde tedavinin 10 gün sürdürülmesi tavsiye edilir. Zamanla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nüks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eden vakalarda yeniden bir DODEX kürü yapılmalıdır. </w:t>
      </w:r>
    </w:p>
    <w:p w:rsidR="0096373C" w:rsidRPr="00CA771B" w:rsidRDefault="0096373C" w:rsidP="0096373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Pernisiyöz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 ve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hiperkrom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makrositer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anemide tedaviye günaşırı 250-1000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(İ.M.) verilerek başlanır ve bu uygulama 1-2 hafta sürdürülür. Daha sonra, kan tahlilleri hastanın normale döndüğünü kanıtlayana kadar, haftada 1 defa 250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(İ.M.) tatbik edilir, ancak hastada nörolojik komplikasyonlar mevcutsa günaşırı 1000 </w:t>
      </w:r>
      <w:proofErr w:type="spellStart"/>
      <w:proofErr w:type="gram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085B4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      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proofErr w:type="gramEnd"/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(İ.M.) verilmeye devam edilir. Hastanın kan tahlili sonuçları </w:t>
      </w:r>
      <w:r w:rsidR="00B724A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düzelme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lastRenderedPageBreak/>
        <w:t xml:space="preserve">gösterdiğinde, ayda 1 defa 1000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vitamini İ.M. olarak tatbik edilerek idame tedavisi uygulanır.</w:t>
      </w:r>
    </w:p>
    <w:p w:rsidR="00CE45F3" w:rsidRPr="00CA771B" w:rsidRDefault="00CE45F3" w:rsidP="0096373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CE45F3" w:rsidRPr="00CA771B" w:rsidRDefault="00CE45F3" w:rsidP="0096373C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Uygulama şekli:</w:t>
      </w:r>
    </w:p>
    <w:p w:rsidR="00CE45F3" w:rsidRPr="00CA771B" w:rsidRDefault="00CE45F3" w:rsidP="0096373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DODEX, uygulama sıklığı, süresi ve miktarı yukarıda belirtildiği şekilde kas içine (İ.M.) 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enjeksiyon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yolu ile uygulanır. </w:t>
      </w:r>
    </w:p>
    <w:p w:rsidR="00CE45F3" w:rsidRPr="00CA771B" w:rsidRDefault="00CE45F3" w:rsidP="0096373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Özel popülasyonlara ilişkin ek </w:t>
      </w:r>
      <w:proofErr w:type="gram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bilgiler :</w:t>
      </w:r>
      <w:proofErr w:type="gram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 </w:t>
      </w: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Böbrek/Karaciğer yetmezliği: </w:t>
      </w: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Veri bulunmamaktadır.</w:t>
      </w:r>
    </w:p>
    <w:p w:rsidR="00114DD0" w:rsidRPr="00CA771B" w:rsidRDefault="00114DD0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Pediyatrik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:</w:t>
      </w: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Veri bulunmamaktadır.</w:t>
      </w:r>
    </w:p>
    <w:p w:rsidR="00114DD0" w:rsidRPr="00CA771B" w:rsidRDefault="00114DD0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:</w:t>
      </w: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Veri bulunmamaktadır.</w:t>
      </w:r>
    </w:p>
    <w:p w:rsidR="001236AC" w:rsidRPr="00CA771B" w:rsidRDefault="001236AC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B245A5" w:rsidRPr="00CA771B" w:rsidRDefault="00B245A5" w:rsidP="003B380E">
      <w:pPr>
        <w:spacing w:line="360" w:lineRule="auto"/>
        <w:jc w:val="both"/>
        <w:rPr>
          <w:rFonts w:ascii="Times New Roman" w:hAnsi="Times New Roman"/>
          <w:bCs/>
          <w:i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4.3 </w:t>
      </w: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Kontrendikasyonlar</w:t>
      </w:r>
      <w:proofErr w:type="spellEnd"/>
    </w:p>
    <w:p w:rsidR="00891EAF" w:rsidRPr="00CA771B" w:rsidRDefault="00891EAF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DODEX,</w:t>
      </w:r>
    </w:p>
    <w:p w:rsidR="00891EAF" w:rsidRPr="00CA771B" w:rsidRDefault="00891EAF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- 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vitaminine </w:t>
      </w:r>
      <w:r w:rsidR="00C636FE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ve içeriğinde bulunan diğer maddelere 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karşı aşırı hassasiyeti olanlarda,</w:t>
      </w:r>
    </w:p>
    <w:p w:rsidR="0096373C" w:rsidRPr="00CA771B" w:rsidRDefault="0098587F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-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Leber</w:t>
      </w:r>
      <w:proofErr w:type="spellEnd"/>
      <w:r w:rsidR="00891EAF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hastalığı olanlarda </w:t>
      </w:r>
      <w:proofErr w:type="spell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kontrendikedir</w:t>
      </w:r>
      <w:proofErr w:type="spell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.</w:t>
      </w:r>
    </w:p>
    <w:p w:rsidR="0096373C" w:rsidRPr="00CA771B" w:rsidRDefault="0096373C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933EC0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4.4 Özel kullanım uyarıları ve önlemleri </w:t>
      </w:r>
    </w:p>
    <w:p w:rsidR="0096373C" w:rsidRPr="00CA771B" w:rsidRDefault="0096373C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YALNIZ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KAS İÇİNE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UYGULANIR. </w:t>
      </w:r>
    </w:p>
    <w:p w:rsidR="0098587F" w:rsidRPr="00CA771B" w:rsidRDefault="00891EAF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vitamini, omuriliğin </w:t>
      </w:r>
      <w:proofErr w:type="spell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subakut</w:t>
      </w:r>
      <w:proofErr w:type="spell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</w:t>
      </w:r>
      <w:proofErr w:type="gram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dejenerasyonunu</w:t>
      </w:r>
      <w:proofErr w:type="gram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maskeleyebileceğinden, tam bir teşhis konmadan kullanılmamalıdır. Kanda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vitamini </w:t>
      </w:r>
      <w:proofErr w:type="gram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konsantrasyonunun</w:t>
      </w:r>
      <w:proofErr w:type="gram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yüksek olduğu optik </w:t>
      </w:r>
      <w:proofErr w:type="spell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nöropatilerde</w:t>
      </w:r>
      <w:proofErr w:type="spell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kullanılması uygun değildir.</w:t>
      </w:r>
    </w:p>
    <w:p w:rsidR="0098587F" w:rsidRPr="00CA771B" w:rsidRDefault="0098587F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vitamini uygulanması esnasında 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enfeksiyon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, üremi,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folik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asit veya demir eksikliğinin ortaya çıkışı ile kemik iliğini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suprese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edici etkileri olan ilaçların (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kloramfenikol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) kullanılması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siyanokobalamine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karşı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terapötik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cevabı azaltabilir. Ağır anemi ve doku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anoksisi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olan hastalarda ve yaşlılarda acil önlemler gerekebilir. Bunlarda kan transfüzyonu, yüksek dozda 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folik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asit tedavisi derhal uygulanmalıdır.</w:t>
      </w:r>
    </w:p>
    <w:p w:rsidR="007E7C23" w:rsidRPr="00CA771B" w:rsidRDefault="007E7C23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Astım, ürtiker, egzama gibi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allerjik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hastalığı olanlarda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siyanokobalamin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verilmeden önce deri testi yapılarak hastanın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hipersensitivitesi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olup olmadığı araştırılmalıdır.</w:t>
      </w:r>
    </w:p>
    <w:p w:rsidR="007E7C23" w:rsidRPr="00CA771B" w:rsidRDefault="007E7C23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lastRenderedPageBreak/>
        <w:t xml:space="preserve">DODEX, hiçbir zaman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intravenöz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yolla yapılmamalı,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intramüsküler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yolla verilmelidir.</w:t>
      </w:r>
    </w:p>
    <w:p w:rsidR="007E7C23" w:rsidRPr="00CA771B" w:rsidRDefault="007E7C23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Hamilelikteki 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vitamini eksikliği olduğu kanıtlanmamışsa kullanılmamalıdır. Hamilelikte ve emziren annelerde tavsiye edilen günlük 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vitamini dozu 2,2 ve 2,6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mcg'dır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. 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 xml:space="preserve">12 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vitamini anne sütüne geçer.</w:t>
      </w:r>
    </w:p>
    <w:p w:rsidR="00FE5A05" w:rsidRPr="00CA771B" w:rsidRDefault="00FE5A05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A43663" w:rsidRPr="00CA771B" w:rsidRDefault="001236AC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Bu tıbbi ürün her bir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ampülde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15</w:t>
      </w:r>
      <w:r w:rsidR="0027481A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,0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mg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benzil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alkol içerir. Prematüre bebekler ve yeni doğanlara uygulanmaması gerekir. Bebeklerde ve 3 yaşma kadar olan çocuklarda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toksik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reaksiyonlara ve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anafilaktoid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reaksiyonlara sebebiyet verebilir.</w:t>
      </w: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Bu tıbbi ürün</w:t>
      </w:r>
      <w:r w:rsidR="00901AF5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her bir ampulde 1 </w:t>
      </w:r>
      <w:proofErr w:type="spellStart"/>
      <w:r w:rsidR="00901AF5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mmol</w:t>
      </w:r>
      <w:proofErr w:type="spellEnd"/>
      <w:r w:rsidR="000D1EA9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</w:t>
      </w:r>
      <w:r w:rsidR="00901AF5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(23 mg)</w:t>
      </w:r>
      <w:r w:rsidR="000D1EA9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’</w:t>
      </w:r>
      <w:r w:rsidR="00901AF5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de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n daha az sodyum ihtiva eder; yani esasında sodyum içer</w:t>
      </w:r>
      <w:r w:rsidR="00B724A3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me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mektedir.</w:t>
      </w:r>
    </w:p>
    <w:p w:rsidR="001236AC" w:rsidRPr="00CA771B" w:rsidRDefault="001236AC" w:rsidP="001236AC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4.5 Diğer tıbbi ürünler ile etkileşimler ve diğer etkileşim şekilleri </w:t>
      </w:r>
    </w:p>
    <w:p w:rsidR="0096373C" w:rsidRPr="00CA771B" w:rsidRDefault="00891EAF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vitamini eksikliği görülen hastalarda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vitamini </w:t>
      </w:r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ile </w:t>
      </w:r>
      <w:proofErr w:type="spell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kloramfenikolün</w:t>
      </w:r>
      <w:proofErr w:type="spell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birlikte kullanımı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vitaminine karşı </w:t>
      </w:r>
      <w:proofErr w:type="spellStart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hematopoetik</w:t>
      </w:r>
      <w:proofErr w:type="spellEnd"/>
      <w:r w:rsidR="0096373C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yanıtı engelleyebilir. </w:t>
      </w:r>
    </w:p>
    <w:p w:rsidR="007E7C23" w:rsidRPr="00CA771B" w:rsidRDefault="007E7C23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Metotreksat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primetamin</w:t>
      </w:r>
      <w:proofErr w:type="spellEnd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kolşisin</w:t>
      </w:r>
      <w:proofErr w:type="spellEnd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paraaminosalisik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asit gibi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enfeksiyone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karşı kullanılan ilaçlar 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vitamini için teşhis amacıyla yapılan mikrobiyolojik kan tahlillerinde yanlış sonuçlar verebilir.</w:t>
      </w:r>
    </w:p>
    <w:p w:rsidR="00901AF5" w:rsidRPr="00CA771B" w:rsidRDefault="00901AF5" w:rsidP="00D92AD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Alkol 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vitaminin</w:t>
      </w:r>
      <w:r w:rsidR="00B724A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in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emilimini azalttığından,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B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vitamini uygulanması esnasında fazla miktarda alkol tüketilmesi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siyanokobalamine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karşı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terapötik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cevabı azaltabilir.</w:t>
      </w:r>
    </w:p>
    <w:p w:rsidR="00EC7097" w:rsidRPr="00CA771B" w:rsidRDefault="00EC7097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CE45F3" w:rsidRPr="00CA771B" w:rsidRDefault="00CE45F3" w:rsidP="00CE45F3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Özel popülasyonlara ilişkin ek </w:t>
      </w:r>
      <w:proofErr w:type="gram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bilgiler :</w:t>
      </w:r>
      <w:proofErr w:type="gram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 </w:t>
      </w:r>
    </w:p>
    <w:p w:rsidR="00CE45F3" w:rsidRPr="00CA771B" w:rsidRDefault="00CE45F3" w:rsidP="00CE45F3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Pediyatrik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:</w:t>
      </w:r>
    </w:p>
    <w:p w:rsidR="00CE45F3" w:rsidRPr="00CA771B" w:rsidRDefault="00CE45F3" w:rsidP="00CE45F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Veri bulunmamaktadır.</w:t>
      </w:r>
    </w:p>
    <w:p w:rsidR="00CE45F3" w:rsidRPr="00CA771B" w:rsidRDefault="00CE45F3" w:rsidP="00CE45F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933EC0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4.6 Gebelik ve </w:t>
      </w: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laktasyon</w:t>
      </w:r>
      <w:proofErr w:type="spellEnd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</w:t>
      </w:r>
    </w:p>
    <w:p w:rsidR="00692F94" w:rsidRPr="00CA771B" w:rsidRDefault="00692F94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Genel Tavsiye</w:t>
      </w:r>
    </w:p>
    <w:p w:rsidR="00692F94" w:rsidRPr="00CA771B" w:rsidRDefault="001E35CE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Gebelik Kategorisi C</w:t>
      </w:r>
    </w:p>
    <w:p w:rsidR="00692F94" w:rsidRPr="00CA771B" w:rsidRDefault="00692F94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Çocuk doğurma potansiyeli bulunan kadınlar/Doğum Kontrolü (</w:t>
      </w: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Kontrasepsiyon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)</w:t>
      </w:r>
      <w:r w:rsidR="00BE2152"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:</w:t>
      </w:r>
    </w:p>
    <w:p w:rsidR="001E35CE" w:rsidRPr="00CA771B" w:rsidRDefault="00BE2152" w:rsidP="001E35C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Veri bulunmamaktadır.</w:t>
      </w:r>
    </w:p>
    <w:p w:rsidR="00114DD0" w:rsidRPr="00CA771B" w:rsidRDefault="00114DD0" w:rsidP="001E35C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1E35CE" w:rsidRPr="00CA771B" w:rsidRDefault="00692F94" w:rsidP="001E35C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Gebelik dönemi:</w:t>
      </w:r>
    </w:p>
    <w:p w:rsidR="00891EAF" w:rsidRPr="00CA771B" w:rsidRDefault="00891EAF" w:rsidP="00891EA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DODEX’in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gebe kadınlarda kullanımına ilişkin yeterli veri mevcut değildir.</w:t>
      </w:r>
    </w:p>
    <w:p w:rsidR="00891EAF" w:rsidRPr="00CA771B" w:rsidRDefault="00891EAF" w:rsidP="00891EA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Hayvanlar üzerinde yapılan araştırmalar üreme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toksisitesinin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bulunduğunu göstermiştir (bkz. Bölüm 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5.3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). İnsanlara yönelik potansiyel risk bilinmemektedir.</w:t>
      </w:r>
    </w:p>
    <w:p w:rsidR="00D14861" w:rsidRPr="00CA771B" w:rsidRDefault="00D14861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lastRenderedPageBreak/>
        <w:t xml:space="preserve">Hamilelikteki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megaloblastik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 vakalarının tedavisinde eğer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eksikliği olduğu kanıtlanmamışsa, kullanılmamalıdır. </w:t>
      </w:r>
    </w:p>
    <w:p w:rsidR="00114DD0" w:rsidRPr="00CA771B" w:rsidRDefault="00114DD0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692F94" w:rsidRPr="00CA771B" w:rsidRDefault="00692F94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Laktasyon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dönemi:</w:t>
      </w:r>
    </w:p>
    <w:p w:rsidR="00891EAF" w:rsidRPr="00CA771B" w:rsidRDefault="00891EAF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D14861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anne sütüne geçer </w:t>
      </w:r>
      <w:r w:rsidR="00BE215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ve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bilinen bir zararı bulunmamaktadır.</w:t>
      </w:r>
      <w:r w:rsidR="00BE215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1236AC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Ancak doktora danışılması gerekir.</w:t>
      </w:r>
    </w:p>
    <w:p w:rsidR="001236AC" w:rsidRPr="00CA771B" w:rsidRDefault="001236AC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Prematüre bebekler ve yeni doğanlarda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benzil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alkol kullanılmaması gerektiğinden, yeni doğum yapmış ve/veya prematüre bebeği olan annelerin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DODEX’i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doktor tavsiyesi ile kullanmaları gerekmektedir. </w:t>
      </w:r>
    </w:p>
    <w:p w:rsidR="001236AC" w:rsidRPr="00CA771B" w:rsidRDefault="007E7C23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Üreme yeteneği /</w:t>
      </w: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Fertilite</w:t>
      </w:r>
      <w:proofErr w:type="spellEnd"/>
    </w:p>
    <w:p w:rsidR="007E7C23" w:rsidRPr="00CA771B" w:rsidRDefault="007E7C23" w:rsidP="007E7C23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Veri bulunmamaktadır.</w:t>
      </w:r>
    </w:p>
    <w:p w:rsidR="00D14861" w:rsidRPr="00CA771B" w:rsidRDefault="00D14861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BA1808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4.7 Araç ve makine kullanımı üzerindeki etkiler</w:t>
      </w:r>
    </w:p>
    <w:p w:rsidR="00D14861" w:rsidRPr="00CA771B" w:rsidRDefault="00D14861" w:rsidP="00D1486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Yoktur.</w:t>
      </w:r>
    </w:p>
    <w:p w:rsidR="00114DD0" w:rsidRPr="00CA771B" w:rsidRDefault="00114DD0" w:rsidP="00D1486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BA1808" w:rsidRPr="00CA771B" w:rsidRDefault="005B1389" w:rsidP="00F931AA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4.8 İstenmeyen etkiler</w:t>
      </w:r>
    </w:p>
    <w:p w:rsidR="0098587F" w:rsidRPr="00CA771B" w:rsidRDefault="0098587F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Çok yaygın (≥1/10); yaygın (≥1/100 ila &lt;1/10); yaygın olmayan (≥1/1.000 ila &lt;1/100); seyrek</w:t>
      </w:r>
    </w:p>
    <w:p w:rsidR="0098587F" w:rsidRPr="00CA771B" w:rsidRDefault="0098587F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(≥1/10.000 ila &lt;1/1.000); çok seyrek (&lt;1/10.000), bilinmiyor (eldeki verilerden hareketle tahmin edilemiyor).</w:t>
      </w:r>
    </w:p>
    <w:p w:rsidR="00EF07A0" w:rsidRPr="00CA771B" w:rsidRDefault="00EF07A0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98587F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Kan ve lenf sistemi hastalıkları</w:t>
      </w:r>
    </w:p>
    <w:p w:rsidR="00464C8A" w:rsidRPr="00CA771B" w:rsidRDefault="00464C8A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Polisitemia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vera</w:t>
      </w:r>
      <w:proofErr w:type="spellEnd"/>
    </w:p>
    <w:p w:rsidR="00EF07A0" w:rsidRPr="00CA771B" w:rsidRDefault="00EF07A0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98587F" w:rsidRPr="00CA771B" w:rsidRDefault="0098587F" w:rsidP="0098587F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Bağışıklık sistemi hastalıkları</w:t>
      </w:r>
    </w:p>
    <w:p w:rsidR="009D16F7" w:rsidRPr="00CA771B" w:rsidRDefault="0098587F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</w:t>
      </w:r>
      <w:r w:rsidR="00CE68D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Aşırı duyarlılık reaksiyonları</w:t>
      </w:r>
    </w:p>
    <w:p w:rsidR="00EF07A0" w:rsidRPr="00CA771B" w:rsidRDefault="00EF07A0" w:rsidP="0098587F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Sinir sistemi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Yürümede bozukluk,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asteni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anksiyete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baş dönmesi,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hipoestezi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koordinasyon bozukluğu, sinirlilik hali,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parestezi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, baş ağrısı</w:t>
      </w:r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Kardiyak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Konjestif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kalp yetmezliği,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periferal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vasküler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tromboz</w:t>
      </w:r>
      <w:proofErr w:type="spellEnd"/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lastRenderedPageBreak/>
        <w:t xml:space="preserve">Solunum, göğüs bozuklukları ve </w:t>
      </w: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mediastinal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 xml:space="preserve">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Dispne</w:t>
      </w:r>
      <w:proofErr w:type="spellEnd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</w:t>
      </w:r>
      <w:proofErr w:type="spellStart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pulmoner</w:t>
      </w:r>
      <w:proofErr w:type="spellEnd"/>
      <w:r w:rsidR="00D21A0E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ödem</w:t>
      </w:r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proofErr w:type="spellStart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Gastrointestinal</w:t>
      </w:r>
      <w:proofErr w:type="spellEnd"/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 xml:space="preserve">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Dispepsi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bulantı, kusma, hafif geçici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diyare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glossit</w:t>
      </w:r>
      <w:proofErr w:type="spellEnd"/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Deri ve deri altı doku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Seyrek: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İnflamatuvarlı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akne oluşumu veya alevlenmesi,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folikülit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oluşumu veya alevlenmesi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Kaşıntı, geçici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ekzantem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</w:t>
      </w:r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Kas-iskelet bozukluklar, bağ doku ve kemik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Artrit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, sırt ağrısı ve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miyalji</w:t>
      </w:r>
      <w:proofErr w:type="spellEnd"/>
    </w:p>
    <w:p w:rsidR="00EF07A0" w:rsidRPr="00CA771B" w:rsidRDefault="00EF07A0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lang w:val="tr-TR"/>
        </w:rPr>
        <w:t>Genel bozukluklar ve uygulama bölgesine ilişkin hastalıkları</w:t>
      </w:r>
    </w:p>
    <w:p w:rsidR="00464C8A" w:rsidRPr="00CA771B" w:rsidRDefault="00464C8A" w:rsidP="00464C8A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Bilinmiyor: Vücutta şişme, sırt ağrısı, genel ağrı, 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>enjeksiyon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lang w:val="tr-TR"/>
        </w:rPr>
        <w:t xml:space="preserve"> yerinde ağrı </w:t>
      </w:r>
    </w:p>
    <w:p w:rsidR="0098587F" w:rsidRPr="00CA771B" w:rsidRDefault="0098587F" w:rsidP="0098587F">
      <w:pPr>
        <w:spacing w:line="360" w:lineRule="auto"/>
        <w:rPr>
          <w:rFonts w:ascii="Times New Roman" w:hAnsi="Times New Roman"/>
          <w:color w:val="0D0D0D" w:themeColor="text1" w:themeTint="F2"/>
          <w:spacing w:val="0"/>
          <w:sz w:val="24"/>
          <w:lang w:val="tr-TR"/>
        </w:rPr>
      </w:pPr>
    </w:p>
    <w:p w:rsidR="00390C20" w:rsidRPr="00CA771B" w:rsidRDefault="00390C20" w:rsidP="00390C2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</w:pPr>
      <w:proofErr w:type="spellStart"/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u w:val="single"/>
          <w:lang w:eastAsia="nl-NL"/>
        </w:rPr>
        <w:t>Ş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>üpheli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>advers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>reaksiyonlar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u w:val="single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>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u w:val="single"/>
          <w:lang w:eastAsia="nl-NL"/>
        </w:rPr>
        <w:t>raporlanmas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u w:val="single"/>
          <w:lang w:eastAsia="nl-NL"/>
        </w:rPr>
        <w:t>ı</w:t>
      </w:r>
      <w:proofErr w:type="spellEnd"/>
    </w:p>
    <w:p w:rsidR="00390C20" w:rsidRPr="00CA771B" w:rsidRDefault="00390C20" w:rsidP="00390C2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</w:pPr>
      <w:proofErr w:type="spellStart"/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Ruhsatland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rma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sonras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ş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üpheli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ilaç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advers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reaksiyonlar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n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raporlanmas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büyük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önem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ta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şı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maktad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.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Raporlama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yap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lmas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,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ilac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yarar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/ risk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dengesinin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sürekli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olarak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izlenmesine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olanak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sa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ğ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lar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.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Sa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ğ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l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mesle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ğ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mensuplar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n</w:t>
      </w:r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ı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herhangi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bir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 w:hint="eastAsia"/>
          <w:color w:val="0D0D0D" w:themeColor="text1" w:themeTint="F2"/>
          <w:spacing w:val="0"/>
          <w:sz w:val="24"/>
          <w:szCs w:val="24"/>
          <w:lang w:eastAsia="nl-NL"/>
        </w:rPr>
        <w:t>şü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pheli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advers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reaksiyonu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Türkiye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Farmakovijilans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Merkezi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(TÜFAM)'ne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bildirmeleri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gerekmektedir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.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(www.titck.gov.tr; </w:t>
      </w:r>
      <w:r w:rsidR="005458CF"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               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e-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posta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: tufam@titck.gov.tr;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tel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 xml:space="preserve">: 0800 314 0008;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faks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eastAsia="nl-NL"/>
        </w:rPr>
        <w:t>: 03122183599)</w:t>
      </w:r>
    </w:p>
    <w:p w:rsidR="00390C20" w:rsidRPr="00CA771B" w:rsidRDefault="00390C20" w:rsidP="0098587F">
      <w:pPr>
        <w:spacing w:line="360" w:lineRule="auto"/>
        <w:rPr>
          <w:rFonts w:ascii="Times New Roman" w:hAnsi="Times New Roman"/>
          <w:color w:val="0D0D0D" w:themeColor="text1" w:themeTint="F2"/>
          <w:spacing w:val="0"/>
          <w:sz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4.9 Doz aşımı ve tedavisi</w:t>
      </w:r>
    </w:p>
    <w:p w:rsidR="00D14861" w:rsidRPr="00CA771B" w:rsidRDefault="00D14861" w:rsidP="00D14861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Doz aşımı durumunda suda çözünen vitaminler idrarla atılır. Acil durumlar için bir 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prosedür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veya antidot yoktur.</w:t>
      </w:r>
    </w:p>
    <w:p w:rsidR="00447243" w:rsidRPr="00CA771B" w:rsidRDefault="00447243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5. FARMAKOLOJİK ÖZELLİKLER </w:t>
      </w: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5.1 Farmakodinamik özellikler </w:t>
      </w:r>
    </w:p>
    <w:p w:rsidR="00324B62" w:rsidRPr="00CA771B" w:rsidRDefault="00447243" w:rsidP="00562484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Farmakoterapötik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grup</w:t>
      </w:r>
      <w:r w:rsidR="006F7F9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: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Vitamini (</w:t>
      </w:r>
      <w:proofErr w:type="spell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Siyanokobalamin</w:t>
      </w:r>
      <w:proofErr w:type="spell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ve Türevleri) </w:t>
      </w:r>
    </w:p>
    <w:p w:rsidR="006F7F93" w:rsidRPr="00CA771B" w:rsidRDefault="006F7F93" w:rsidP="00562484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ATC kodu: </w:t>
      </w:r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BO3BA01</w:t>
      </w:r>
    </w:p>
    <w:p w:rsidR="006F2A43" w:rsidRPr="00CA771B" w:rsidRDefault="00891EAF" w:rsidP="00562484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vitamini, vücutta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methionin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timidin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protoporfirinin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biosentezlerini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aktive eden ve nükleoprotein ile hemoglobinin yapılmasında katalizör vazifesi görerek normal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eritropoezi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lastRenderedPageBreak/>
        <w:t xml:space="preserve">temin eden bir vitamindir. Bu etkisinden dolayı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pernisiyöz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 ile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hiperkrom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makrositer</w:t>
      </w:r>
      <w:proofErr w:type="spellEnd"/>
      <w:r w:rsidR="006F2A43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anemide tabloyu süratle düzeltir.</w:t>
      </w:r>
    </w:p>
    <w:p w:rsidR="006F2A43" w:rsidRPr="00CA771B" w:rsidRDefault="006F2A43" w:rsidP="00562484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Yüksek dozda 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="00891EA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vitamini, siyatik ve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trigeminus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nevraljisi gibi nörolojik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endikasyon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sahalarında kullanılır ve şiddetli ağrıların süratle giderilmesini sağlar.</w:t>
      </w:r>
    </w:p>
    <w:p w:rsidR="00EF07A0" w:rsidRPr="00CA771B" w:rsidRDefault="00EF07A0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5.2 </w:t>
      </w:r>
      <w:proofErr w:type="spellStart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Farmakokinetik</w:t>
      </w:r>
      <w:proofErr w:type="spellEnd"/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özellikler </w:t>
      </w:r>
    </w:p>
    <w:p w:rsidR="00F56039" w:rsidRPr="00CA771B" w:rsidRDefault="00F5603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Emilim</w:t>
      </w:r>
    </w:p>
    <w:p w:rsidR="00562484" w:rsidRPr="00CA771B" w:rsidRDefault="00891EAF" w:rsidP="00562484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</w:t>
      </w:r>
      <w:proofErr w:type="spell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intrinsik</w:t>
      </w:r>
      <w:proofErr w:type="spell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faktöre bağlanarak </w:t>
      </w:r>
      <w:proofErr w:type="spell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absorbe</w:t>
      </w:r>
      <w:proofErr w:type="spell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olur ve </w:t>
      </w:r>
      <w:proofErr w:type="spell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intrinsik</w:t>
      </w:r>
      <w:proofErr w:type="spell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faktör yokluğunda, </w:t>
      </w:r>
      <w:proofErr w:type="spell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gastrektomiden</w:t>
      </w:r>
      <w:proofErr w:type="spell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sonra ve </w:t>
      </w:r>
      <w:proofErr w:type="spell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malabsorbsiyon</w:t>
      </w:r>
      <w:proofErr w:type="spell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sendromu</w:t>
      </w:r>
      <w:proofErr w:type="gramEnd"/>
      <w:r w:rsidR="00562484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mevcudiyetinde iyi emilmez.</w:t>
      </w:r>
    </w:p>
    <w:p w:rsidR="00114DD0" w:rsidRPr="00CA771B" w:rsidRDefault="00114DD0" w:rsidP="00562484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F56039" w:rsidRPr="00CA771B" w:rsidRDefault="00F56039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Dağılım</w:t>
      </w:r>
    </w:p>
    <w:p w:rsidR="00A846D2" w:rsidRPr="00CA771B" w:rsidRDefault="00891EAF" w:rsidP="00A846D2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vitamini plazma proteinlerine geni</w:t>
      </w:r>
      <w:r w:rsidR="0098587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ş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ölçüde bağlanır. Karaci</w:t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ğ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erde depola</w:t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n</w:t>
      </w:r>
      <w:r w:rsidR="0098587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ı</w:t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r.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Vücut </w:t>
      </w:r>
      <w:r w:rsidR="005458C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            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1000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r w:rsidR="00114DD0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’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l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ı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k</w:t>
      </w:r>
      <w:proofErr w:type="spellEnd"/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bir dozun %15’ini depolar. Vücut depolar</w:t>
      </w:r>
      <w:r w:rsidR="0098587F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ı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nda 2000-3000 </w:t>
      </w:r>
      <w:proofErr w:type="spellStart"/>
      <w:r w:rsidR="00746F66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mcg</w:t>
      </w:r>
      <w:proofErr w:type="spellEnd"/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="00A846D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vitamini mevcuttur. </w:t>
      </w:r>
      <w:r w:rsidR="002E301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DODEX, safra salgısı aracılığı ile </w:t>
      </w:r>
      <w:proofErr w:type="spellStart"/>
      <w:r w:rsidR="002E301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enterohepatik</w:t>
      </w:r>
      <w:proofErr w:type="spellEnd"/>
      <w:r w:rsidR="002E301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="002E301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sirkülasyona</w:t>
      </w:r>
      <w:proofErr w:type="gramEnd"/>
      <w:r w:rsidR="002E3012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girer.</w:t>
      </w:r>
    </w:p>
    <w:p w:rsidR="00114DD0" w:rsidRPr="00CA771B" w:rsidRDefault="00114DD0" w:rsidP="00A846D2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E147E7" w:rsidRPr="00CA771B" w:rsidRDefault="009D16F7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Metabolizma</w:t>
      </w:r>
    </w:p>
    <w:p w:rsidR="009D16F7" w:rsidRPr="00CA771B" w:rsidRDefault="002E3012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B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bscript"/>
          <w:lang w:val="tr-TR"/>
        </w:rPr>
        <w:t>12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vitamininin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parenteral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kullanımına bağlı metabolizması hakkında veri bulunmamaktadır.</w:t>
      </w:r>
    </w:p>
    <w:p w:rsidR="00114DD0" w:rsidRPr="00CA771B" w:rsidRDefault="00114DD0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F56039" w:rsidRPr="00CA771B" w:rsidRDefault="00A846D2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Eliminasyon</w:t>
      </w:r>
    </w:p>
    <w:p w:rsidR="002E3012" w:rsidRPr="00CA771B" w:rsidRDefault="002E3012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Enjektabl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olarak verilen dozun büyük bir kısmı ilk 24 saatte idrarla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itrah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edilir.</w:t>
      </w:r>
    </w:p>
    <w:p w:rsidR="00E147E7" w:rsidRPr="00CA771B" w:rsidRDefault="00E147E7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75102A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5.3 Klinik </w:t>
      </w:r>
      <w:r w:rsidR="0098587F"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öncesi güvenlilik</w:t>
      </w: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verileri </w:t>
      </w:r>
    </w:p>
    <w:p w:rsidR="00157E16" w:rsidRPr="00CA771B" w:rsidRDefault="00157E16" w:rsidP="00157E16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Müstahzarın içerdiği etkin madde klinikte uzun yıllardır kullanılan bir maddedir. Hakkındaki çalışmalar tamamlanmıştır. Kullanımları ile ilgili olarak görülebilecek olumsuz etkiler ilgili bölümlerde yer almaktadır (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4.4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, 4.6, 4.8, 4.9).</w:t>
      </w:r>
    </w:p>
    <w:p w:rsidR="00114DD0" w:rsidRPr="00CA771B" w:rsidRDefault="00114DD0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6. FARMASÖTİK ÖZELLİKLER</w:t>
      </w: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6.1 Yardımcı maddelerin listesi</w:t>
      </w:r>
    </w:p>
    <w:p w:rsidR="00E147E7" w:rsidRPr="00CA771B" w:rsidRDefault="00F931AA" w:rsidP="00E147E7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Sodyum klorür</w:t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</w:p>
    <w:p w:rsidR="00E147E7" w:rsidRPr="00CA771B" w:rsidRDefault="00F931AA" w:rsidP="00E147E7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Benzil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 xml:space="preserve"> alkol</w:t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E147E7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</w:p>
    <w:p w:rsidR="001C267A" w:rsidRPr="00CA771B" w:rsidRDefault="00F931AA" w:rsidP="00E147E7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 xml:space="preserve">Enjeksiyonluk </w:t>
      </w:r>
      <w:r w:rsidR="009D16F7"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 xml:space="preserve">su </w:t>
      </w:r>
      <w:r w:rsidR="001C267A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1C267A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1C267A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  <w:r w:rsidR="001C267A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ab/>
      </w:r>
    </w:p>
    <w:p w:rsidR="005B1389" w:rsidRPr="00CA771B" w:rsidRDefault="005B1389" w:rsidP="002118C3">
      <w:pPr>
        <w:spacing w:line="360" w:lineRule="auto"/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position w:val="0"/>
          <w:sz w:val="24"/>
          <w:szCs w:val="24"/>
          <w:lang w:val="tr-TR"/>
        </w:rPr>
        <w:t>6.2 Geçimsizlikler</w:t>
      </w:r>
    </w:p>
    <w:p w:rsidR="002118C3" w:rsidRPr="00CA771B" w:rsidRDefault="002118C3" w:rsidP="009D16F7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İlaç etkileşimleri ile ilgili bilgiler </w:t>
      </w:r>
      <w:proofErr w:type="gram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4.5</w:t>
      </w:r>
      <w:proofErr w:type="gram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no.lu bölümde belirtilmektedir. </w:t>
      </w:r>
      <w:proofErr w:type="spellStart"/>
      <w:proofErr w:type="gramStart"/>
      <w:r w:rsidR="00D92AD1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</w:rPr>
        <w:t>Siyanokobalamin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’in kullanılan yardımcı maddeler ile geçimsizliği yoktur.</w:t>
      </w:r>
      <w:proofErr w:type="gramEnd"/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lastRenderedPageBreak/>
        <w:t>6.3 Raf ömrü</w:t>
      </w:r>
    </w:p>
    <w:p w:rsidR="00071225" w:rsidRPr="00CA771B" w:rsidRDefault="001C267A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6</w:t>
      </w:r>
      <w:r w:rsidR="002118C3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0</w:t>
      </w:r>
      <w:r w:rsidR="00071225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Ay</w:t>
      </w:r>
    </w:p>
    <w:p w:rsidR="00984BEE" w:rsidRPr="00CA771B" w:rsidRDefault="00984BEE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0D63CD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6.4 Saklamaya yönelik özel uyarılar</w:t>
      </w:r>
    </w:p>
    <w:p w:rsidR="00F931AA" w:rsidRPr="00CA771B" w:rsidRDefault="00F931AA" w:rsidP="00F931AA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25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vertAlign w:val="superscript"/>
          <w:lang w:val="tr-TR"/>
        </w:rPr>
        <w:t>o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C’nin altındaki oda sıcaklığında ve ışıktan koruyarak saklayınız. </w:t>
      </w:r>
    </w:p>
    <w:p w:rsidR="00071225" w:rsidRPr="00CA771B" w:rsidRDefault="00071225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6.5 Ambalajın niteliği ve içeriği </w:t>
      </w:r>
    </w:p>
    <w:p w:rsidR="00F931AA" w:rsidRPr="00CA771B" w:rsidRDefault="00F931AA" w:rsidP="00F931AA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Tip I camdan yapılmış,</w:t>
      </w:r>
      <w:r w:rsidR="00D92AD1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üzeri baskılı, halkalı 1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ml’lik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, renksiz ampuller.</w:t>
      </w:r>
    </w:p>
    <w:p w:rsidR="00F931AA" w:rsidRPr="00CA771B" w:rsidRDefault="00F931AA" w:rsidP="00F931AA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Her bir karton kutu; 5 </w:t>
      </w:r>
      <w:r w:rsidR="00A42845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ve 100 </w:t>
      </w: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adet 1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ml’lik</w:t>
      </w:r>
      <w:proofErr w:type="spellEnd"/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 xml:space="preserve"> ampul içermektedir. </w:t>
      </w:r>
    </w:p>
    <w:p w:rsidR="00E21E85" w:rsidRPr="00CA771B" w:rsidRDefault="00E21E85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bCs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6.6 Beşeri tıbbi üründen arta kalan maddelerin imhası ve diğer özel önlemler</w:t>
      </w:r>
    </w:p>
    <w:p w:rsidR="005B1389" w:rsidRPr="00CA771B" w:rsidRDefault="00722A2A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Geçerli Değildir.</w:t>
      </w:r>
    </w:p>
    <w:p w:rsidR="002B7DA9" w:rsidRPr="00CA771B" w:rsidRDefault="002B7DA9" w:rsidP="003B380E">
      <w:pPr>
        <w:tabs>
          <w:tab w:val="left" w:pos="1305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tabs>
          <w:tab w:val="left" w:pos="1305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7. RUHSAT SAHİBİ </w:t>
      </w:r>
    </w:p>
    <w:p w:rsidR="00393EE1" w:rsidRPr="00CA771B" w:rsidRDefault="00393EE1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Deva Holding A.Ş.</w:t>
      </w:r>
    </w:p>
    <w:p w:rsidR="00393EE1" w:rsidRPr="00CA771B" w:rsidRDefault="00393EE1" w:rsidP="00F931AA">
      <w:pPr>
        <w:tabs>
          <w:tab w:val="left" w:pos="4830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Halkalı Merkez Mah. Basın Ekspres Cad.</w:t>
      </w:r>
      <w:r w:rsidR="00F931AA"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ab/>
      </w:r>
    </w:p>
    <w:p w:rsidR="00393EE1" w:rsidRPr="00CA771B" w:rsidRDefault="00393EE1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No:</w:t>
      </w:r>
      <w:r w:rsidR="00901AF5"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 xml:space="preserve">1 </w:t>
      </w:r>
      <w:r w:rsidR="00D21A0E"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34303 Küçükçekmece/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İSTANBUL</w:t>
      </w:r>
    </w:p>
    <w:p w:rsidR="00393EE1" w:rsidRPr="00CA771B" w:rsidRDefault="00393EE1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sz w:val="24"/>
          <w:szCs w:val="24"/>
          <w:lang w:val="tr-TR"/>
        </w:rPr>
        <w:t>Tel: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 xml:space="preserve">    0212 692 92 </w:t>
      </w:r>
      <w:proofErr w:type="spellStart"/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>92</w:t>
      </w:r>
      <w:proofErr w:type="spellEnd"/>
    </w:p>
    <w:p w:rsidR="00393EE1" w:rsidRPr="00CA771B" w:rsidRDefault="00393EE1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sz w:val="24"/>
          <w:szCs w:val="24"/>
          <w:lang w:val="tr-TR"/>
        </w:rPr>
        <w:t>Faks:</w:t>
      </w:r>
      <w:r w:rsidRPr="00CA771B"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  <w:t xml:space="preserve"> 0212 697 00 24 </w:t>
      </w:r>
    </w:p>
    <w:p w:rsidR="00F931AA" w:rsidRPr="00CA771B" w:rsidRDefault="00F931AA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8. RUHSAT NUMARASI</w:t>
      </w:r>
    </w:p>
    <w:p w:rsidR="001C267A" w:rsidRPr="00CA771B" w:rsidRDefault="006F433C" w:rsidP="003B380E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59/21</w:t>
      </w:r>
    </w:p>
    <w:p w:rsidR="00114DD0" w:rsidRPr="00CA771B" w:rsidRDefault="00114DD0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9. İLK RUHSAT TARİHİ/ RUHSAT YENİLEME TARİHİ </w:t>
      </w:r>
    </w:p>
    <w:p w:rsidR="00507910" w:rsidRPr="00CA771B" w:rsidRDefault="000D63CD" w:rsidP="006A6F45">
      <w:pPr>
        <w:spacing w:line="360" w:lineRule="auto"/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İlk </w:t>
      </w:r>
      <w:r w:rsidR="00507910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Ruhsat</w:t>
      </w:r>
      <w:r w:rsidR="00393EE1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landırma </w:t>
      </w:r>
      <w:r w:rsidR="00507910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Tarihi: </w:t>
      </w:r>
      <w:r w:rsidR="006F433C" w:rsidRPr="00CA771B">
        <w:rPr>
          <w:rFonts w:ascii="Times New Roman" w:hAnsi="Times New Roman"/>
          <w:color w:val="0D0D0D" w:themeColor="text1" w:themeTint="F2"/>
          <w:spacing w:val="0"/>
          <w:position w:val="0"/>
          <w:sz w:val="24"/>
          <w:szCs w:val="24"/>
          <w:lang w:val="tr-TR"/>
        </w:rPr>
        <w:t>30.06.1961</w:t>
      </w:r>
    </w:p>
    <w:p w:rsidR="00692F94" w:rsidRPr="00CA771B" w:rsidRDefault="00393EE1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Son Yenileme Tarihi:</w:t>
      </w: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 </w:t>
      </w:r>
      <w:r w:rsidR="000D1EA9"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15.07.2011</w:t>
      </w:r>
    </w:p>
    <w:p w:rsidR="00393EE1" w:rsidRPr="00CA771B" w:rsidRDefault="00393EE1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</w:p>
    <w:p w:rsidR="005B1389" w:rsidRPr="00CA771B" w:rsidRDefault="005B1389" w:rsidP="003B380E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b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 xml:space="preserve">10.  KÜB’ÜN YENİLENME TARİHİ </w:t>
      </w:r>
    </w:p>
    <w:p w:rsidR="005B1389" w:rsidRPr="00CA771B" w:rsidRDefault="00DC4478" w:rsidP="003B380E">
      <w:pPr>
        <w:spacing w:line="360" w:lineRule="auto"/>
        <w:jc w:val="both"/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</w:pPr>
      <w:r w:rsidRPr="00CA771B">
        <w:rPr>
          <w:rFonts w:ascii="Times New Roman" w:hAnsi="Times New Roman"/>
          <w:color w:val="0D0D0D" w:themeColor="text1" w:themeTint="F2"/>
          <w:spacing w:val="0"/>
          <w:kern w:val="0"/>
          <w:position w:val="0"/>
          <w:sz w:val="24"/>
          <w:szCs w:val="24"/>
          <w:lang w:val="tr-TR"/>
        </w:rPr>
        <w:t>21.11.2012</w:t>
      </w:r>
    </w:p>
    <w:sectPr w:rsidR="005B1389" w:rsidRPr="00CA771B" w:rsidSect="005A02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B5" w:rsidRDefault="007905B5">
      <w:r>
        <w:separator/>
      </w:r>
    </w:p>
  </w:endnote>
  <w:endnote w:type="continuationSeparator" w:id="0">
    <w:p w:rsidR="007905B5" w:rsidRDefault="0079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9212"/>
    </w:tblGrid>
    <w:tr w:rsidR="00891EAF" w:rsidRPr="00CC238B" w:rsidTr="00CC238B">
      <w:tc>
        <w:tcPr>
          <w:tcW w:w="9212" w:type="dxa"/>
        </w:tcPr>
        <w:p w:rsidR="00891EAF" w:rsidRPr="00CC238B" w:rsidRDefault="00346F8C" w:rsidP="00901AF5">
          <w:pPr>
            <w:pStyle w:val="Altbilgi"/>
            <w:jc w:val="right"/>
            <w:rPr>
              <w:rFonts w:ascii="Times New Roman" w:hAnsi="Times New Roman"/>
            </w:rPr>
          </w:pPr>
          <w:r w:rsidRPr="00CC238B">
            <w:rPr>
              <w:rStyle w:val="SayfaNumaras"/>
              <w:rFonts w:ascii="Times New Roman" w:hAnsi="Times New Roman"/>
            </w:rPr>
            <w:fldChar w:fldCharType="begin"/>
          </w:r>
          <w:r w:rsidR="00891EAF" w:rsidRPr="00CC238B">
            <w:rPr>
              <w:rStyle w:val="SayfaNumaras"/>
              <w:rFonts w:ascii="Times New Roman" w:hAnsi="Times New Roman"/>
            </w:rPr>
            <w:instrText xml:space="preserve"> PAGE </w:instrText>
          </w:r>
          <w:r w:rsidRPr="00CC238B">
            <w:rPr>
              <w:rStyle w:val="SayfaNumaras"/>
              <w:rFonts w:ascii="Times New Roman" w:hAnsi="Times New Roman"/>
            </w:rPr>
            <w:fldChar w:fldCharType="separate"/>
          </w:r>
          <w:r w:rsidR="00CA771B">
            <w:rPr>
              <w:rStyle w:val="SayfaNumaras"/>
              <w:rFonts w:ascii="Times New Roman" w:hAnsi="Times New Roman"/>
              <w:noProof/>
            </w:rPr>
            <w:t>7</w:t>
          </w:r>
          <w:r w:rsidRPr="00CC238B">
            <w:rPr>
              <w:rStyle w:val="SayfaNumaras"/>
              <w:rFonts w:ascii="Times New Roman" w:hAnsi="Times New Roman"/>
            </w:rPr>
            <w:fldChar w:fldCharType="end"/>
          </w:r>
          <w:r w:rsidR="00114DD0">
            <w:rPr>
              <w:rStyle w:val="SayfaNumaras"/>
              <w:rFonts w:ascii="Times New Roman" w:hAnsi="Times New Roman"/>
            </w:rPr>
            <w:t>/7</w:t>
          </w:r>
        </w:p>
      </w:tc>
    </w:tr>
  </w:tbl>
  <w:p w:rsidR="00891EAF" w:rsidRDefault="00891EA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B5" w:rsidRDefault="007905B5">
      <w:r>
        <w:separator/>
      </w:r>
    </w:p>
  </w:footnote>
  <w:footnote w:type="continuationSeparator" w:id="0">
    <w:p w:rsidR="007905B5" w:rsidRDefault="00790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35AD"/>
    <w:multiLevelType w:val="hybridMultilevel"/>
    <w:tmpl w:val="D6D09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3B2768"/>
    <w:rsid w:val="00025673"/>
    <w:rsid w:val="0002672B"/>
    <w:rsid w:val="00040B44"/>
    <w:rsid w:val="00064F0F"/>
    <w:rsid w:val="00071225"/>
    <w:rsid w:val="00085B44"/>
    <w:rsid w:val="0008722B"/>
    <w:rsid w:val="000A3611"/>
    <w:rsid w:val="000A7EF5"/>
    <w:rsid w:val="000D1EA9"/>
    <w:rsid w:val="000D63CD"/>
    <w:rsid w:val="000F4DF9"/>
    <w:rsid w:val="0010323A"/>
    <w:rsid w:val="00114DD0"/>
    <w:rsid w:val="00116179"/>
    <w:rsid w:val="001201F2"/>
    <w:rsid w:val="001236AC"/>
    <w:rsid w:val="00143166"/>
    <w:rsid w:val="00154C5A"/>
    <w:rsid w:val="00157E16"/>
    <w:rsid w:val="001757D8"/>
    <w:rsid w:val="00176A76"/>
    <w:rsid w:val="00177D03"/>
    <w:rsid w:val="0018405E"/>
    <w:rsid w:val="001960DC"/>
    <w:rsid w:val="00196D69"/>
    <w:rsid w:val="001B1394"/>
    <w:rsid w:val="001B7CEE"/>
    <w:rsid w:val="001C267A"/>
    <w:rsid w:val="001D5782"/>
    <w:rsid w:val="001D6988"/>
    <w:rsid w:val="001E35CE"/>
    <w:rsid w:val="00206A39"/>
    <w:rsid w:val="002118C3"/>
    <w:rsid w:val="0022448A"/>
    <w:rsid w:val="002449E8"/>
    <w:rsid w:val="00247C01"/>
    <w:rsid w:val="00257832"/>
    <w:rsid w:val="002631EE"/>
    <w:rsid w:val="0027481A"/>
    <w:rsid w:val="00293DD4"/>
    <w:rsid w:val="002B7DA9"/>
    <w:rsid w:val="002C317C"/>
    <w:rsid w:val="002C4803"/>
    <w:rsid w:val="002E3012"/>
    <w:rsid w:val="002F7661"/>
    <w:rsid w:val="00305376"/>
    <w:rsid w:val="00324B62"/>
    <w:rsid w:val="00346F8C"/>
    <w:rsid w:val="003840BF"/>
    <w:rsid w:val="00390C20"/>
    <w:rsid w:val="00393EE1"/>
    <w:rsid w:val="003A505B"/>
    <w:rsid w:val="003B2768"/>
    <w:rsid w:val="003B380E"/>
    <w:rsid w:val="003C1DF3"/>
    <w:rsid w:val="003C2BC6"/>
    <w:rsid w:val="003F3A68"/>
    <w:rsid w:val="00414F71"/>
    <w:rsid w:val="00447243"/>
    <w:rsid w:val="00464022"/>
    <w:rsid w:val="00464C8A"/>
    <w:rsid w:val="00484E72"/>
    <w:rsid w:val="00495DF2"/>
    <w:rsid w:val="004969F3"/>
    <w:rsid w:val="004A4FB8"/>
    <w:rsid w:val="004A6053"/>
    <w:rsid w:val="004C13C6"/>
    <w:rsid w:val="00507910"/>
    <w:rsid w:val="0051453E"/>
    <w:rsid w:val="00520C4C"/>
    <w:rsid w:val="00527DB5"/>
    <w:rsid w:val="005458CF"/>
    <w:rsid w:val="00557CD0"/>
    <w:rsid w:val="00562484"/>
    <w:rsid w:val="00583A92"/>
    <w:rsid w:val="005A02C1"/>
    <w:rsid w:val="005A3E1B"/>
    <w:rsid w:val="005A7802"/>
    <w:rsid w:val="005B1389"/>
    <w:rsid w:val="005B4860"/>
    <w:rsid w:val="005E2519"/>
    <w:rsid w:val="00603B5E"/>
    <w:rsid w:val="00604C8B"/>
    <w:rsid w:val="006224A9"/>
    <w:rsid w:val="00633594"/>
    <w:rsid w:val="00642BF4"/>
    <w:rsid w:val="00643C7D"/>
    <w:rsid w:val="006511EC"/>
    <w:rsid w:val="00652A3D"/>
    <w:rsid w:val="00654EC1"/>
    <w:rsid w:val="006570DF"/>
    <w:rsid w:val="00661E47"/>
    <w:rsid w:val="00673923"/>
    <w:rsid w:val="006751AD"/>
    <w:rsid w:val="00682269"/>
    <w:rsid w:val="00692F94"/>
    <w:rsid w:val="00695602"/>
    <w:rsid w:val="006A6F45"/>
    <w:rsid w:val="006B08B2"/>
    <w:rsid w:val="006B1E99"/>
    <w:rsid w:val="006C4595"/>
    <w:rsid w:val="006D1C51"/>
    <w:rsid w:val="006F2A43"/>
    <w:rsid w:val="006F433C"/>
    <w:rsid w:val="006F4B7C"/>
    <w:rsid w:val="006F7F93"/>
    <w:rsid w:val="00706C3A"/>
    <w:rsid w:val="00715CBF"/>
    <w:rsid w:val="007223D3"/>
    <w:rsid w:val="00722A2A"/>
    <w:rsid w:val="007458B8"/>
    <w:rsid w:val="00746F66"/>
    <w:rsid w:val="0075102A"/>
    <w:rsid w:val="0075133E"/>
    <w:rsid w:val="00756E65"/>
    <w:rsid w:val="00775A71"/>
    <w:rsid w:val="007827DB"/>
    <w:rsid w:val="007861F7"/>
    <w:rsid w:val="00786EAE"/>
    <w:rsid w:val="007905B5"/>
    <w:rsid w:val="007912B5"/>
    <w:rsid w:val="007A3B14"/>
    <w:rsid w:val="007E7C23"/>
    <w:rsid w:val="007F563B"/>
    <w:rsid w:val="008050E9"/>
    <w:rsid w:val="00805CBE"/>
    <w:rsid w:val="00810298"/>
    <w:rsid w:val="0082315E"/>
    <w:rsid w:val="0086333D"/>
    <w:rsid w:val="00877602"/>
    <w:rsid w:val="00891EAF"/>
    <w:rsid w:val="008924A0"/>
    <w:rsid w:val="008933F2"/>
    <w:rsid w:val="00897D28"/>
    <w:rsid w:val="008A4706"/>
    <w:rsid w:val="008B75AB"/>
    <w:rsid w:val="0090044D"/>
    <w:rsid w:val="00901AF5"/>
    <w:rsid w:val="00933EC0"/>
    <w:rsid w:val="00935C98"/>
    <w:rsid w:val="00936952"/>
    <w:rsid w:val="00951D55"/>
    <w:rsid w:val="0096373C"/>
    <w:rsid w:val="00967B07"/>
    <w:rsid w:val="00973A2D"/>
    <w:rsid w:val="00977BDF"/>
    <w:rsid w:val="00984BEE"/>
    <w:rsid w:val="0098587F"/>
    <w:rsid w:val="009901F7"/>
    <w:rsid w:val="009C3AC4"/>
    <w:rsid w:val="009D16F7"/>
    <w:rsid w:val="009F2DC0"/>
    <w:rsid w:val="00A05A8B"/>
    <w:rsid w:val="00A3663F"/>
    <w:rsid w:val="00A42845"/>
    <w:rsid w:val="00A43663"/>
    <w:rsid w:val="00A846D2"/>
    <w:rsid w:val="00AA6B54"/>
    <w:rsid w:val="00AB5156"/>
    <w:rsid w:val="00AB5A10"/>
    <w:rsid w:val="00AC3706"/>
    <w:rsid w:val="00AE4354"/>
    <w:rsid w:val="00B04CD6"/>
    <w:rsid w:val="00B114D5"/>
    <w:rsid w:val="00B20195"/>
    <w:rsid w:val="00B2277B"/>
    <w:rsid w:val="00B245A5"/>
    <w:rsid w:val="00B35C8C"/>
    <w:rsid w:val="00B5469A"/>
    <w:rsid w:val="00B66057"/>
    <w:rsid w:val="00B724A3"/>
    <w:rsid w:val="00B74E87"/>
    <w:rsid w:val="00B80E16"/>
    <w:rsid w:val="00BA1808"/>
    <w:rsid w:val="00BD0DC0"/>
    <w:rsid w:val="00BD0E33"/>
    <w:rsid w:val="00BD2468"/>
    <w:rsid w:val="00BD2474"/>
    <w:rsid w:val="00BE2152"/>
    <w:rsid w:val="00C359C0"/>
    <w:rsid w:val="00C436CC"/>
    <w:rsid w:val="00C52E8E"/>
    <w:rsid w:val="00C636FE"/>
    <w:rsid w:val="00C934C3"/>
    <w:rsid w:val="00CA33B9"/>
    <w:rsid w:val="00CA5914"/>
    <w:rsid w:val="00CA771B"/>
    <w:rsid w:val="00CA7A84"/>
    <w:rsid w:val="00CB44D9"/>
    <w:rsid w:val="00CC02C7"/>
    <w:rsid w:val="00CC238B"/>
    <w:rsid w:val="00CD55BE"/>
    <w:rsid w:val="00CE45F3"/>
    <w:rsid w:val="00CE68D7"/>
    <w:rsid w:val="00D06200"/>
    <w:rsid w:val="00D14861"/>
    <w:rsid w:val="00D21A0E"/>
    <w:rsid w:val="00D370D1"/>
    <w:rsid w:val="00D46835"/>
    <w:rsid w:val="00D7369D"/>
    <w:rsid w:val="00D92AD1"/>
    <w:rsid w:val="00DB487E"/>
    <w:rsid w:val="00DC4478"/>
    <w:rsid w:val="00DC596A"/>
    <w:rsid w:val="00DC7F4D"/>
    <w:rsid w:val="00DD019A"/>
    <w:rsid w:val="00DE4155"/>
    <w:rsid w:val="00DF0BFD"/>
    <w:rsid w:val="00DF6744"/>
    <w:rsid w:val="00E0086C"/>
    <w:rsid w:val="00E147E7"/>
    <w:rsid w:val="00E168CA"/>
    <w:rsid w:val="00E21E85"/>
    <w:rsid w:val="00E25BB8"/>
    <w:rsid w:val="00E47BF9"/>
    <w:rsid w:val="00E63862"/>
    <w:rsid w:val="00E640E5"/>
    <w:rsid w:val="00E7654E"/>
    <w:rsid w:val="00E802A8"/>
    <w:rsid w:val="00E83CEC"/>
    <w:rsid w:val="00E85C45"/>
    <w:rsid w:val="00E960CB"/>
    <w:rsid w:val="00EB1E9B"/>
    <w:rsid w:val="00EB3B1E"/>
    <w:rsid w:val="00EB4552"/>
    <w:rsid w:val="00EC7097"/>
    <w:rsid w:val="00ED5BA6"/>
    <w:rsid w:val="00ED6589"/>
    <w:rsid w:val="00EF07A0"/>
    <w:rsid w:val="00F157F9"/>
    <w:rsid w:val="00F31D45"/>
    <w:rsid w:val="00F55686"/>
    <w:rsid w:val="00F56039"/>
    <w:rsid w:val="00F6445C"/>
    <w:rsid w:val="00F769C4"/>
    <w:rsid w:val="00F87D22"/>
    <w:rsid w:val="00F91B85"/>
    <w:rsid w:val="00F931AA"/>
    <w:rsid w:val="00FA1D59"/>
    <w:rsid w:val="00FA594B"/>
    <w:rsid w:val="00FB7796"/>
    <w:rsid w:val="00FB7FF3"/>
    <w:rsid w:val="00FC6CFF"/>
    <w:rsid w:val="00FC7AE6"/>
    <w:rsid w:val="00FE5A05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20"/>
      <w:kern w:val="32"/>
      <w:position w:val="2"/>
      <w:sz w:val="22"/>
      <w:lang w:val="en-GB"/>
    </w:rPr>
  </w:style>
  <w:style w:type="paragraph" w:styleId="Balk1">
    <w:name w:val="heading 1"/>
    <w:basedOn w:val="Normal"/>
    <w:next w:val="Normal"/>
    <w:qFormat/>
    <w:rsid w:val="00DF6744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0"/>
      <w:kern w:val="0"/>
      <w:position w:val="0"/>
      <w:sz w:val="24"/>
      <w:lang w:val="tr-TR"/>
    </w:rPr>
  </w:style>
  <w:style w:type="paragraph" w:styleId="Balk2">
    <w:name w:val="heading 2"/>
    <w:basedOn w:val="Normal"/>
    <w:next w:val="Normal"/>
    <w:qFormat/>
    <w:rsid w:val="00722A2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cs="Arial"/>
      <w:b/>
      <w:bCs/>
      <w:i/>
      <w:iCs/>
      <w:spacing w:val="0"/>
      <w:kern w:val="0"/>
      <w:position w:val="0"/>
      <w:sz w:val="28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2449E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449E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A02C1"/>
  </w:style>
  <w:style w:type="paragraph" w:styleId="GvdeMetni">
    <w:name w:val="Body Text"/>
    <w:basedOn w:val="Normal"/>
    <w:rsid w:val="000D63CD"/>
    <w:pPr>
      <w:overflowPunct/>
      <w:autoSpaceDE/>
      <w:autoSpaceDN/>
      <w:adjustRightInd/>
      <w:textAlignment w:val="auto"/>
    </w:pPr>
    <w:rPr>
      <w:rFonts w:cs="Arial"/>
      <w:spacing w:val="0"/>
      <w:kern w:val="0"/>
      <w:position w:val="0"/>
      <w:sz w:val="24"/>
      <w:szCs w:val="24"/>
      <w:lang w:val="tr-TR"/>
    </w:rPr>
  </w:style>
  <w:style w:type="paragraph" w:styleId="GvdeMetni2">
    <w:name w:val="Body Text 2"/>
    <w:basedOn w:val="Normal"/>
    <w:rsid w:val="00EC7097"/>
    <w:pPr>
      <w:spacing w:after="120" w:line="480" w:lineRule="auto"/>
    </w:pPr>
  </w:style>
  <w:style w:type="paragraph" w:styleId="GvdeMetniGirintisi">
    <w:name w:val="Body Text Indent"/>
    <w:basedOn w:val="Normal"/>
    <w:rsid w:val="0075102A"/>
    <w:pPr>
      <w:spacing w:after="120"/>
      <w:ind w:left="283"/>
    </w:pPr>
  </w:style>
  <w:style w:type="paragraph" w:customStyle="1" w:styleId="GvdeMetniGirintisi21">
    <w:name w:val="Gövde Metni Girintisi 21"/>
    <w:basedOn w:val="Normal"/>
    <w:rsid w:val="00D14861"/>
    <w:pPr>
      <w:ind w:left="284" w:hanging="284"/>
      <w:jc w:val="both"/>
    </w:pPr>
    <w:rPr>
      <w:lang w:val="tr-TR"/>
    </w:rPr>
  </w:style>
  <w:style w:type="paragraph" w:customStyle="1" w:styleId="GvdeMetni21">
    <w:name w:val="Gövde Metni 21"/>
    <w:basedOn w:val="Normal"/>
    <w:rsid w:val="00157E16"/>
    <w:pPr>
      <w:spacing w:line="360" w:lineRule="auto"/>
      <w:ind w:left="567"/>
      <w:jc w:val="both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4180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617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6870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193">
                              <w:marLeft w:val="14"/>
                              <w:marRight w:val="0"/>
                              <w:marTop w:val="1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5804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11627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13883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1504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3712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938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5264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78954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382194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5238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86520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59585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57813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29014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84888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97760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88882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72193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858689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80472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00234">
                              <w:marLeft w:val="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47765">
                              <w:marLeft w:val="1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91441">
                              <w:marLeft w:val="14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8448">
                              <w:marLeft w:val="14"/>
                              <w:marRight w:val="0"/>
                              <w:marTop w:val="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TIBBİ ÜRÜNÜN ADI</vt:lpstr>
    </vt:vector>
  </TitlesOfParts>
  <Company>Deva Holding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TIBBİ ÜRÜNÜN ADI</dc:title>
  <dc:subject/>
  <dc:creator>sterzi</dc:creator>
  <cp:keywords/>
  <dc:description/>
  <cp:lastModifiedBy>ebellikan</cp:lastModifiedBy>
  <cp:revision>4</cp:revision>
  <cp:lastPrinted>2013-02-01T12:55:00Z</cp:lastPrinted>
  <dcterms:created xsi:type="dcterms:W3CDTF">2014-06-19T05:26:00Z</dcterms:created>
  <dcterms:modified xsi:type="dcterms:W3CDTF">2014-06-19T05:26:00Z</dcterms:modified>
</cp:coreProperties>
</file>