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1" w:rsidRPr="008A393B" w:rsidRDefault="00566D9A" w:rsidP="009D7811">
      <w:pPr>
        <w:spacing w:before="120" w:line="360" w:lineRule="auto"/>
        <w:jc w:val="center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KISA ÜRÜN BİLGİSİ</w:t>
      </w:r>
    </w:p>
    <w:p w:rsidR="009D7811" w:rsidRPr="008A393B" w:rsidRDefault="00FF5152" w:rsidP="009D7811">
      <w:pPr>
        <w:numPr>
          <w:ilvl w:val="0"/>
          <w:numId w:val="13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BEŞERİ </w:t>
      </w:r>
      <w:r w:rsidR="00073968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TIBBİ ÜRÜNÜN ADI</w:t>
      </w:r>
    </w:p>
    <w:p w:rsidR="009D7811" w:rsidRPr="008A393B" w:rsidRDefault="00906CF9" w:rsidP="00C5468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DİAZEM 2 mg </w:t>
      </w:r>
      <w:r w:rsidR="00541F13" w:rsidRPr="008A393B">
        <w:rPr>
          <w:rFonts w:ascii="Times New Roman" w:hAnsi="Times New Roman"/>
          <w:spacing w:val="0"/>
          <w:position w:val="0"/>
          <w:sz w:val="24"/>
          <w:lang w:val="tr-TR"/>
        </w:rPr>
        <w:t>K</w:t>
      </w:r>
      <w:r w:rsidR="009800F7" w:rsidRPr="008A393B">
        <w:rPr>
          <w:rFonts w:ascii="Times New Roman" w:hAnsi="Times New Roman"/>
          <w:spacing w:val="0"/>
          <w:position w:val="0"/>
          <w:sz w:val="24"/>
          <w:lang w:val="tr-TR"/>
        </w:rPr>
        <w:t>apsül</w:t>
      </w:r>
    </w:p>
    <w:p w:rsidR="00A00778" w:rsidRPr="008A393B" w:rsidRDefault="00A00778" w:rsidP="00C5468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D7811" w:rsidRPr="008A393B" w:rsidRDefault="009800F7" w:rsidP="00C5468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lang w:val="tr-TR"/>
        </w:rPr>
        <w:t>2. KALİTATİF VE KANTİTATİF BİLEŞİM</w:t>
      </w: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Her bir kapsülde;</w:t>
      </w: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Etkin madde: </w:t>
      </w: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proofErr w:type="gram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2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.0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 </w:t>
      </w: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Yard</w:t>
      </w:r>
      <w:r w:rsidRPr="008A393B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mc</w:t>
      </w:r>
      <w:r w:rsidRPr="008A393B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madde(</w:t>
      </w:r>
      <w:proofErr w:type="spell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ler</w:t>
      </w:r>
      <w:proofErr w:type="spell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</w:p>
    <w:p w:rsidR="009800F7" w:rsidRPr="008A393B" w:rsidRDefault="00AC40A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Laktoz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monohidrat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50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.0</w:t>
      </w:r>
      <w:proofErr w:type="gram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</w:t>
      </w:r>
    </w:p>
    <w:p w:rsidR="009800F7" w:rsidRPr="008A393B" w:rsidRDefault="009D7811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Yard</w:t>
      </w:r>
      <w:r w:rsidRPr="008A393B">
        <w:rPr>
          <w:rFonts w:ascii="Times New Roman" w:hAnsi="Times New Roman" w:hint="eastAsia"/>
          <w:spacing w:val="0"/>
          <w:position w:val="0"/>
          <w:sz w:val="24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mc</w:t>
      </w:r>
      <w:r w:rsidRPr="008A393B">
        <w:rPr>
          <w:rFonts w:ascii="Times New Roman" w:hAnsi="Times New Roman" w:hint="eastAsia"/>
          <w:spacing w:val="0"/>
          <w:position w:val="0"/>
          <w:sz w:val="24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 maddeler için </w:t>
      </w:r>
      <w:proofErr w:type="gramStart"/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6.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</w:t>
      </w:r>
      <w:r w:rsidR="009800F7" w:rsidRPr="008A393B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’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</w:t>
      </w:r>
      <w:proofErr w:type="gram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bak</w:t>
      </w:r>
      <w:r w:rsidR="009800F7" w:rsidRPr="008A393B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</w:t>
      </w:r>
      <w:r w:rsidR="009800F7" w:rsidRPr="008A393B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z. </w:t>
      </w:r>
    </w:p>
    <w:p w:rsidR="00A00778" w:rsidRPr="008A393B" w:rsidRDefault="00A00778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3. FARMASÖTİK FORM</w:t>
      </w:r>
    </w:p>
    <w:p w:rsidR="009D7811" w:rsidRPr="008A393B" w:rsidRDefault="009D7811" w:rsidP="009D781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Kapsül</w:t>
      </w:r>
    </w:p>
    <w:p w:rsidR="009D7811" w:rsidRPr="008A393B" w:rsidRDefault="00906CF9" w:rsidP="009D7811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Gövde beyaz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opak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kapak açık yeşil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opak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sert jelatin kapsüller (</w:t>
      </w: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 : 3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 içinde, beyaz, </w:t>
      </w:r>
    </w:p>
    <w:p w:rsidR="00906CF9" w:rsidRPr="008A393B" w:rsidRDefault="00906CF9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kokusuz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homojen görünüşlü toz.</w:t>
      </w:r>
    </w:p>
    <w:p w:rsidR="00A00778" w:rsidRPr="008A393B" w:rsidRDefault="00A00778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 KLİNİK ÖZELLİKLER</w:t>
      </w: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4.1. 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Terapötik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endikasyonlar</w:t>
      </w:r>
      <w:proofErr w:type="spellEnd"/>
    </w:p>
    <w:p w:rsidR="005E643A" w:rsidRPr="008A393B" w:rsidRDefault="00906CF9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Nörotik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anksiyetenin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kısa süreli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semptomatik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tedavisinde, akut alkol yoksunluğunda ortaya çıkan ajitasyon, tremor,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delirium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tremens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halüsinasyonlarda, iskelet kaslarının lokal patolojiye bağlı refleks spazmlarında, yukarı motor nöronlara bağlı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spastisitelerde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serebral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felç ve 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paraplejiler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), bazı epilepsi türlerinde, çocuklarda 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serebral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spastisiteye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bağlı gerginlik ve sinirlilik halinin kontrolünde, 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tetanozda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kas spazmının kontrolünde, oral 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premedikasyonda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ameliyat öncesi </w:t>
      </w:r>
      <w:proofErr w:type="spellStart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premedikasyonda</w:t>
      </w:r>
      <w:proofErr w:type="spellEnd"/>
      <w:r w:rsidR="008C3EA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kullanılır. </w:t>
      </w:r>
    </w:p>
    <w:p w:rsidR="005E643A" w:rsidRPr="008A393B" w:rsidRDefault="005E643A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4.2. 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Pozoloji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uygulama şekli</w:t>
      </w:r>
    </w:p>
    <w:p w:rsidR="00D0082C" w:rsidRPr="008A393B" w:rsidRDefault="00D0082C" w:rsidP="00B729C7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Pozoloji</w:t>
      </w:r>
      <w:proofErr w:type="spell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/uygulama sıklığı ve süresi:</w:t>
      </w:r>
    </w:p>
    <w:p w:rsidR="00D0082C" w:rsidRPr="008A393B" w:rsidRDefault="00D0082C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Doz hastaya göre en iyi sonuç alınacak şekilde ayarlanmalıdır. </w:t>
      </w:r>
    </w:p>
    <w:p w:rsidR="009D7811" w:rsidRPr="008A393B" w:rsidRDefault="00D0082C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Tedaviye genellikle semptomları kontrol altına alabilecek en düşük dozla başlanır.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günde 2 veya </w:t>
      </w:r>
      <w:r w:rsidR="005E643A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3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defa </w:t>
      </w:r>
      <w:r w:rsidR="00E03D6B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5-30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 dozlarında kullanılmalıdır</w:t>
      </w:r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>.</w:t>
      </w:r>
    </w:p>
    <w:p w:rsidR="00D0082C" w:rsidRPr="008A393B" w:rsidRDefault="00D0082C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Akut alkol yoksunluğunda: </w:t>
      </w:r>
      <w:r w:rsidR="00C730DF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gerekirse 2 ila 4 saat aralıklarla günde 5-20 mg,</w:t>
      </w:r>
    </w:p>
    <w:p w:rsidR="009D7811" w:rsidRPr="008A393B" w:rsidRDefault="00D0082C" w:rsidP="00C730D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C730DF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olarak: yatmadan önce, günde 5-15 mg </w:t>
      </w:r>
      <w:r w:rsidR="00E03D6B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kullanılmalıdır</w:t>
      </w:r>
      <w:r w:rsidR="00E03D6B" w:rsidRPr="008A393B">
        <w:rPr>
          <w:rFonts w:ascii="Times New Roman" w:hAnsi="Times New Roman"/>
          <w:spacing w:val="0"/>
          <w:position w:val="0"/>
          <w:sz w:val="24"/>
          <w:lang w:val="tr-TR"/>
        </w:rPr>
        <w:t>.</w:t>
      </w:r>
    </w:p>
    <w:p w:rsidR="00D0082C" w:rsidRPr="008A393B" w:rsidRDefault="00D0082C" w:rsidP="00B729C7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lastRenderedPageBreak/>
        <w:t>Uygulama sekli:</w:t>
      </w:r>
    </w:p>
    <w:p w:rsidR="00D0082C" w:rsidRPr="008A393B" w:rsidRDefault="00D0082C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Oral yolla uygulama içindir.</w:t>
      </w:r>
    </w:p>
    <w:p w:rsidR="00D0082C" w:rsidRPr="008A393B" w:rsidRDefault="00D0082C" w:rsidP="00B729C7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Özel </w:t>
      </w:r>
      <w:proofErr w:type="gram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popülasyonlara</w:t>
      </w:r>
      <w:proofErr w:type="gram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ilişkin ek bilgiler:</w:t>
      </w:r>
    </w:p>
    <w:p w:rsidR="00D0082C" w:rsidRPr="008A393B" w:rsidRDefault="00D0082C" w:rsidP="00B729C7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Böbrek/Karaciğer yetmezliği: </w:t>
      </w:r>
    </w:p>
    <w:p w:rsidR="00D0082C" w:rsidRPr="008A393B" w:rsidRDefault="00D0082C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Diazem’in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önemli miktarda böbrekler aracılığıyla atılmaktadır ve böbrek fonksiyonları bozulmuş hastalarda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toksik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reaksiyon riski yüksek olabilir. Bu nedenle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böbrek hastalarında dikkatli kullanılmalıdır.</w:t>
      </w:r>
    </w:p>
    <w:p w:rsidR="009D7811" w:rsidRPr="008A393B" w:rsidRDefault="00D0082C" w:rsidP="009D7811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ciddi karaciğer yetmezliğinde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kontrendikedir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(bkz. </w:t>
      </w:r>
      <w:proofErr w:type="gramStart"/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>4.3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Bölüm</w:t>
      </w:r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proofErr w:type="spellStart"/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>Kontrendikasyonlar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D0082C" w:rsidRPr="008A393B" w:rsidRDefault="00D0082C" w:rsidP="00B729C7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Pediyatrik</w:t>
      </w:r>
      <w:proofErr w:type="spell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: </w:t>
      </w:r>
    </w:p>
    <w:p w:rsidR="00D0082C" w:rsidRPr="008A393B" w:rsidRDefault="00D0082C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 aylıktan küçük pediatrik hastalarda etkinlik ve güvenlilik bilinmemektedir.</w:t>
      </w:r>
    </w:p>
    <w:p w:rsidR="00D0082C" w:rsidRPr="008A393B" w:rsidRDefault="00D0082C" w:rsidP="00B729C7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:</w:t>
      </w:r>
    </w:p>
    <w:p w:rsidR="00D0082C" w:rsidRPr="008A393B" w:rsidRDefault="00D0082C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Yaşlı hastalarda,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ataksi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aşırı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sedasyonu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önlemek için etkili olan en düşük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dozunun kullanılması tavsiye edilmektedir. Eğer ilaç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tolere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edilebiliyorsa, ilaç dozu kademeli olarak artırılabilir.</w:t>
      </w:r>
      <w:r w:rsidR="0001200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C730DF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Yetişkin dozunun yarısı kadar kullanılması önerilir. </w:t>
      </w:r>
    </w:p>
    <w:p w:rsidR="00A00778" w:rsidRPr="008A393B" w:rsidRDefault="00A00778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8A393B" w:rsidRDefault="00073968" w:rsidP="00B729C7">
      <w:pPr>
        <w:pStyle w:val="GvdeMetni3"/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A393B">
        <w:rPr>
          <w:rFonts w:ascii="Times New Roman" w:hAnsi="Times New Roman" w:cs="Times New Roman"/>
          <w:b/>
          <w:sz w:val="24"/>
          <w:szCs w:val="24"/>
        </w:rPr>
        <w:t>4.3</w:t>
      </w:r>
      <w:r w:rsidR="009800F7" w:rsidRPr="008A393B">
        <w:rPr>
          <w:rFonts w:ascii="Times New Roman" w:hAnsi="Times New Roman" w:cs="Times New Roman"/>
          <w:b/>
          <w:sz w:val="24"/>
          <w:szCs w:val="24"/>
        </w:rPr>
        <w:t>.</w:t>
      </w:r>
      <w:r w:rsidRPr="008A3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93B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9800F7" w:rsidRPr="008A393B" w:rsidRDefault="009800F7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aşağıdaki durumlarda kullanılmamalıdır:</w:t>
      </w:r>
    </w:p>
    <w:p w:rsidR="009D7811" w:rsidRPr="008A393B" w:rsidRDefault="009800F7" w:rsidP="009D7811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preparatın bileşiminde yer alan maddelerin herhangi birine aşırı duyarlılığı olan kişilerde</w:t>
      </w:r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 aylıktan küçük bebeklerde</w:t>
      </w:r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Akut alkol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intoksikasyonunda</w:t>
      </w:r>
      <w:proofErr w:type="spellEnd"/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Mental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depresyonda</w:t>
      </w:r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 (</w:t>
      </w:r>
      <w:proofErr w:type="spellStart"/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>benzodiazepinler</w:t>
      </w:r>
      <w:proofErr w:type="spellEnd"/>
      <w:r w:rsidR="009D7811"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 tek başına kullanıldıklarında depresyonu arttırırlar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Miyastenia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graviste</w:t>
      </w:r>
      <w:proofErr w:type="spellEnd"/>
    </w:p>
    <w:p w:rsidR="009D7811" w:rsidRPr="008A393B" w:rsidRDefault="009800F7" w:rsidP="009D7811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Dar açılı glokomda</w:t>
      </w:r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Psikoz durumlarında </w:t>
      </w:r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Ciddi karaciğer yetmezliğinde</w:t>
      </w:r>
    </w:p>
    <w:p w:rsidR="009800F7" w:rsidRPr="008A393B" w:rsidRDefault="009800F7" w:rsidP="00B729C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Ciddi solunum yetmezliğinde</w:t>
      </w:r>
    </w:p>
    <w:p w:rsidR="009D7811" w:rsidRPr="008A393B" w:rsidRDefault="009800F7" w:rsidP="009D7811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Uykuda geçici solunum yetmezliği </w:t>
      </w:r>
    </w:p>
    <w:p w:rsidR="00746319" w:rsidRPr="008A393B" w:rsidRDefault="00746319" w:rsidP="009D7811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Akut porfiri</w:t>
      </w:r>
    </w:p>
    <w:p w:rsidR="00746319" w:rsidRPr="008A393B" w:rsidRDefault="00746319" w:rsidP="00A968FC">
      <w:pPr>
        <w:pStyle w:val="GvdeMetni"/>
        <w:tabs>
          <w:tab w:val="left" w:pos="284"/>
        </w:tabs>
        <w:spacing w:after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pStyle w:val="GvdeMetni3"/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ascii="Times New Roman" w:hAnsi="Times New Roman" w:cs="Times New Roman"/>
          <w:kern w:val="32"/>
          <w:sz w:val="24"/>
          <w:szCs w:val="24"/>
        </w:rPr>
      </w:pPr>
      <w:r w:rsidRPr="008A393B">
        <w:rPr>
          <w:rFonts w:ascii="Times New Roman" w:hAnsi="Times New Roman" w:cs="Times New Roman"/>
          <w:b/>
          <w:sz w:val="24"/>
          <w:szCs w:val="24"/>
        </w:rPr>
        <w:t>4.4. Özel kullanım uyarıları ve önlemleri</w:t>
      </w:r>
    </w:p>
    <w:p w:rsidR="0001200D" w:rsidRPr="008A393B" w:rsidRDefault="0001200D" w:rsidP="0001200D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 süresi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endikasyona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bağlı olarak mümkün olduğunca kısa olmalıdır ve 4 haftayı geçmemelidir. </w:t>
      </w:r>
      <w:r w:rsidR="00AE128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astanın durumu yeniden değerlendirilmeden 4 hafta sonra</w:t>
      </w:r>
      <w:r w:rsidR="00AE128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sında tedaviye </w:t>
      </w:r>
      <w:r w:rsidR="00AE128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deva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 edilme</w:t>
      </w:r>
      <w:r w:rsidR="00AE128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lidir. Uzun vadeli tedavinin gerekli olduğu durumlarda, hastanın gereksinimleri</w:t>
      </w:r>
      <w:r w:rsidR="00AE128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nin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düzenli olarak gözden geçirilmesi tavsiye edilir.</w:t>
      </w:r>
    </w:p>
    <w:p w:rsidR="0001200D" w:rsidRPr="008A393B" w:rsidRDefault="00AE1286" w:rsidP="00E65510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 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başlatıldığında, hastaya, tedavinin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sınırlı bir süre 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olacağı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doz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un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giderek 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azaltılacağı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tam olarak açıkla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nmalıdır. H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astanın böylece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tedavisinin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kesilme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si ile </w:t>
      </w:r>
      <w:proofErr w:type="spellStart"/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rebound</w:t>
      </w:r>
      <w:proofErr w:type="spellEnd"/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olayı olasılığının bilincinde olarak meydana gelebilecek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 belirtiler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in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en aza indirilmesi</w:t>
      </w:r>
      <w:r w:rsidR="00E6551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sağlanabilir. </w:t>
      </w:r>
    </w:p>
    <w:p w:rsidR="009D7811" w:rsidRPr="008A393B" w:rsidRDefault="009D7128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DİKKAT BAĞIMLILIK YAPABİLİR.</w:t>
      </w:r>
    </w:p>
    <w:p w:rsidR="009D7811" w:rsidRPr="008A393B" w:rsidRDefault="009D7128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alkollü içkilerle birlikte kullanmaktan sakınınız, uyuklamaya neden olabilir. 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Çapraz hassasiyet: </w:t>
      </w:r>
    </w:p>
    <w:p w:rsidR="009D7811" w:rsidRPr="008A393B" w:rsidRDefault="009D7128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Benzodiazepinlerden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birine karşı hassasiyet mevcutsa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için de söz konusudur. 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Genel uyarılar: </w:t>
      </w:r>
    </w:p>
    <w:p w:rsidR="00667799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İlaç bağımlılığına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predispozisyonu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olan hastalarda dikkatle kullanılmalıdır. 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Diğer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antikonvülsan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ilaçlarda olduğu gibi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;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konvülsif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rahatsızlıklarda ek tedavi olarak kullanıldığında,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sıklığı veya Grand mal nöbetlerinin artması hallerinde, standart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antikonvülzan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 dozunun arttırılmasını gerektirebilir. 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Epileptik hastalarda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ani kesilmesi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grandmal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nöbetlerinin sıklık ve şiddetini arttırabilir. 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edici etkisinden dolayı hastalar;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 esnasında alkol ve santral sinir sistemini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eden ilaçlara karşı uyarılmalıdır. </w:t>
      </w:r>
    </w:p>
    <w:p w:rsidR="009D7811" w:rsidRPr="008A393B" w:rsidRDefault="009D7128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Karaciğer ve böbrek fonksiyon bozukluğu olanlarda dikkatle kullanılmalıdır.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Hipoalbüminemide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 artabilir. Kronik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obstrüktif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pulmoner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rahatsızlığı olanlarda solunum güçlüğünü arttırabilirler. 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Pediatrik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kullanımı: </w:t>
      </w:r>
    </w:p>
    <w:p w:rsidR="009D7811" w:rsidRPr="008A393B" w:rsidRDefault="009D7128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Özellikle küçük hastalar ve yaşlı hastalar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sisteminde oluşturdukları etkilere karşı daha fazla hassastırlar. Yeni doğanlarda uzun süreli santral sinir sistemi depresyonu oluşturur.</w:t>
      </w:r>
    </w:p>
    <w:p w:rsidR="009D7128" w:rsidRPr="008A393B" w:rsidRDefault="009D7128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Fiziksel ve psikolojik bağımlılık: </w:t>
      </w:r>
    </w:p>
    <w:p w:rsidR="009D7811" w:rsidRPr="008A393B" w:rsidRDefault="009D7128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ani kesilmelerinde,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alkol gibi maddelerin ani kesilmelerine benzer şekilde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konvülsiyonlar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tremor, karın ve kas krampları, kusma ve terleme gibi belirtiler görülebilir. Bu nedenle her türlü uzun süreli tedavide ilaç yavaş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yavaş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azaltılmalıdır. </w:t>
      </w:r>
    </w:p>
    <w:p w:rsidR="009D7128" w:rsidRPr="008A393B" w:rsidRDefault="009D7128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kapsüllerin her biri </w:t>
      </w:r>
      <w:proofErr w:type="gramStart"/>
      <w:r w:rsidR="00D004AD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50</w:t>
      </w:r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.0</w:t>
      </w:r>
      <w:proofErr w:type="gram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mg laktoz 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monohidrat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içermektedir. Nadir kalıtımsal 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galaktoz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intoleransı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Lapp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laktoz yetmezliği ya da glikoz-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galaktoz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malabsorpsiyon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problemi olan hastaların bu ilacı kullanmamaları gerekir.  </w:t>
      </w:r>
    </w:p>
    <w:p w:rsidR="009D7128" w:rsidRPr="008A393B" w:rsidRDefault="009D7128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Bu ürünün kapsül yapısında </w:t>
      </w:r>
      <w:proofErr w:type="spellStart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tartrazin</w:t>
      </w:r>
      <w:proofErr w:type="spellEnd"/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bulunmaktadır. Alerjik reaksiyonlara sebep olabilir.</w:t>
      </w:r>
    </w:p>
    <w:p w:rsidR="00507ADB" w:rsidRPr="008A393B" w:rsidRDefault="00507ADB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4.5. Diğer tıbbi ürünler ile etkileşimler ve diğer etkileşim şekilleri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Antasidler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birlikte kullanım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absorpsiyon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süresini uzatır. 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Karbamazepin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her iki ilacın da serum seviyelerini düşürebilir, etkileri azalır. </w:t>
      </w:r>
    </w:p>
    <w:p w:rsidR="009D7811" w:rsidRPr="008A393B" w:rsidRDefault="00507ADB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Omeprazol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imetidin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mikrozomal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oksidasyonunu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eder. Etki şiddetlenebilir. 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Diğer santral sinir sistemi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depresanları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etkileşebilir. Etki şiddetlenir 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İzoniazid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birlikte kullanım ile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507ADB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metabolizasyonu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azalabilir. 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Nöromusküler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kavşak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blokerleri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 (kürar benzeri ilaçlar, kas gevşeticiler) ile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aditif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sinerji görülür. 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Rifampin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eliminasyonunu arttırabilir. 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Alkol ile birlikte kullanılması uyuklamaya yol açabilir. </w:t>
      </w:r>
    </w:p>
    <w:p w:rsidR="00EE55F3" w:rsidRPr="008A393B" w:rsidRDefault="009800F7" w:rsidP="0065549C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Kesilme sendromu gelişmesi riski,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reçete edilen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kombinasyonu ile artar. </w:t>
      </w:r>
    </w:p>
    <w:p w:rsidR="00D444AF" w:rsidRPr="008A393B" w:rsidRDefault="00D444AF" w:rsidP="00D444A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birlikte kullanılması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dopaminerjik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ilaçların (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levodopa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terapötik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etkilerini azaltabilir.</w:t>
      </w:r>
    </w:p>
    <w:p w:rsidR="00767054" w:rsidRPr="008A393B" w:rsidRDefault="00767054" w:rsidP="0065549C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Itrakonazloe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ketokonazol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flukonazol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sitokrom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P450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izoenzim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CYP3A4 inhibitörleri olduğundan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düzeylerini artırabilirler. Eş zamanlı kullanım ile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 artabilir ve uzayabilir.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dozunun azaltılması gerekli olabilir.</w:t>
      </w:r>
    </w:p>
    <w:p w:rsidR="00F52E29" w:rsidRPr="008A393B" w:rsidRDefault="00767054" w:rsidP="0065549C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metabolizmasını artırarak etkisini azaltır</w:t>
      </w:r>
      <w:r w:rsidR="0067349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67349D" w:rsidRPr="008A393B" w:rsidRDefault="00767054" w:rsidP="0065549C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Greyfurt suyu CYP3A4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konsantrasyonu artıra</w:t>
      </w:r>
      <w:r w:rsidR="0067349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rak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sedasyon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amnezi</w:t>
      </w:r>
      <w:r w:rsidR="0067349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yi uzatabilir.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Bu etkileşim, sağlıklı bireylerde </w:t>
      </w:r>
      <w:r w:rsidR="0067349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pek bir önem taşımasa da y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aşlılık ya da karaciğer sirozu gibi diğer faktörler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advers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etkilerin </w:t>
      </w:r>
      <w:r w:rsidR="0067349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riskini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artırabilir</w:t>
      </w:r>
      <w:r w:rsidR="0067349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67349D" w:rsidRPr="008A393B" w:rsidRDefault="0067349D" w:rsidP="0065549C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4.6. Gebelik ve 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de-DE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tavsiye</w:t>
      </w:r>
    </w:p>
    <w:p w:rsidR="009D7811" w:rsidRPr="008A393B" w:rsidRDefault="009D7811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Gebelik 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kategorisi </w:t>
      </w:r>
      <w:proofErr w:type="spellStart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D’dir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</w:p>
    <w:p w:rsidR="009800F7" w:rsidRPr="008A393B" w:rsidRDefault="009800F7" w:rsidP="00B729C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Çocuk do</w:t>
      </w:r>
      <w:r w:rsidRPr="008A393B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urma potansiyeli bulunan kad</w:t>
      </w:r>
      <w:r w:rsidRPr="008A393B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nlar/Do</w:t>
      </w:r>
      <w:r w:rsidRPr="008A393B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um kontrolü (</w:t>
      </w:r>
      <w:proofErr w:type="spellStart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Kontrasepsiyon</w:t>
      </w:r>
      <w:proofErr w:type="spellEnd"/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</w:p>
    <w:p w:rsidR="00D444AF" w:rsidRPr="008A393B" w:rsidRDefault="00D444AF" w:rsidP="00D444AF">
      <w:pPr>
        <w:pStyle w:val="GvdeMetni"/>
        <w:spacing w:after="0"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Hamileliğin ilk üç ayında kullanımı ile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konjenital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malformasyon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 artacağından 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çocuk doğurma potansiyeli bulunan kadınlarda kullanımı önerilmez ve uygun bir doğum kontrol yöntemi uygulanması önerilir. </w:t>
      </w:r>
    </w:p>
    <w:p w:rsidR="009800F7" w:rsidRPr="008A393B" w:rsidRDefault="009800F7" w:rsidP="00D444AF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Gebelik dönemi</w:t>
      </w:r>
    </w:p>
    <w:p w:rsidR="00D444AF" w:rsidRPr="008A393B" w:rsidRDefault="00D444AF" w:rsidP="00D444AF">
      <w:pPr>
        <w:pStyle w:val="GvdeMetni"/>
        <w:spacing w:after="0"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Diazepam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’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ın</w:t>
      </w:r>
      <w:proofErr w:type="spellEnd"/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gebelik ve/veya </w:t>
      </w:r>
      <w:proofErr w:type="spellStart"/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fetus</w:t>
      </w:r>
      <w:proofErr w:type="spellEnd"/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/yeni do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ğ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an üzerinde zararl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farmakolojik etkileri bulunmaktad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r.</w:t>
      </w:r>
    </w:p>
    <w:p w:rsidR="00D444AF" w:rsidRPr="008A393B" w:rsidRDefault="00D444AF" w:rsidP="00D444AF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lastRenderedPageBreak/>
        <w:t>Diazem</w:t>
      </w:r>
      <w:proofErr w:type="spellEnd"/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gerekli olmadıkça (bunun koşulları belirtilmelidir) gebelik döneminde kullan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lmamal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</w:t>
      </w:r>
      <w:r w:rsidRPr="008A393B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r.</w:t>
      </w:r>
    </w:p>
    <w:p w:rsidR="009D7811" w:rsidRPr="008A393B" w:rsidRDefault="009800F7" w:rsidP="009D7811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rahatlıkla plasentaya geçer. Hamileliğin ilk üç ayında kullanımı ile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konjenital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malformasyon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 artar. Bu yüzden hamilelik süresince risk/yarar oranı dikkatli değerlendirilmelidir. Bu arada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kullanımına nadir olarak acil ihtiyaç duyulduğundan, hamilelik süresinde genel olarak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kullanımından kaçınmak gerekir. </w:t>
      </w:r>
    </w:p>
    <w:p w:rsidR="009800F7" w:rsidRPr="008A393B" w:rsidRDefault="009800F7" w:rsidP="00B729C7">
      <w:pPr>
        <w:keepNext/>
        <w:widowControl w:val="0"/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dönemi</w:t>
      </w:r>
    </w:p>
    <w:p w:rsidR="009D7811" w:rsidRPr="008A393B" w:rsidRDefault="009800F7" w:rsidP="009D7811">
      <w:pPr>
        <w:keepNext/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N-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anne sütüne rahatlıkla geçtiğinden, emziren kadınların b</w:t>
      </w:r>
      <w:r w:rsidR="00B729C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u dönemde bu ilacı kullanmaktan kaçınmaları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gerekir.</w:t>
      </w:r>
    </w:p>
    <w:p w:rsidR="009800F7" w:rsidRPr="008A393B" w:rsidRDefault="009800F7" w:rsidP="00B729C7">
      <w:pPr>
        <w:keepNext/>
        <w:widowControl w:val="0"/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Üreme yetene</w:t>
      </w:r>
      <w:r w:rsidRPr="008A393B">
        <w:rPr>
          <w:rFonts w:ascii="Times New Roman" w:hAnsi="Times New Roman" w:hint="eastAsia"/>
          <w:b/>
          <w:spacing w:val="0"/>
          <w:position w:val="0"/>
          <w:sz w:val="24"/>
          <w:szCs w:val="24"/>
          <w:lang w:val="tr-TR"/>
        </w:rPr>
        <w:t>ğ</w:t>
      </w: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i /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Fertilite</w:t>
      </w:r>
      <w:proofErr w:type="spellEnd"/>
    </w:p>
    <w:p w:rsidR="009800F7" w:rsidRPr="008A393B" w:rsidRDefault="001A1BC5" w:rsidP="00B729C7">
      <w:pPr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Farelerde ve sıçanlarda yapılan çalışmalarda, </w:t>
      </w:r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80 mg/kg/gün </w:t>
      </w:r>
      <w:proofErr w:type="spellStart"/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diazepam</w:t>
      </w:r>
      <w:proofErr w:type="spellEnd"/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dozunun </w:t>
      </w:r>
      <w:proofErr w:type="spellStart"/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fertilite</w:t>
      </w:r>
      <w:proofErr w:type="spellEnd"/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veya yavruların yaşama yeteneği üzerine herhangi bir </w:t>
      </w:r>
      <w:proofErr w:type="spellStart"/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advers</w:t>
      </w:r>
      <w:proofErr w:type="spellEnd"/>
      <w:r w:rsidR="009800F7" w:rsidRPr="008A393B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etkisi bulunmamıştır. (mg/m² olarak tavsiye edilen maksimum insan dozunun yaklaşık 13 katı).</w:t>
      </w:r>
    </w:p>
    <w:p w:rsidR="001A1BC5" w:rsidRPr="008A393B" w:rsidRDefault="001A1BC5" w:rsidP="00B729C7">
      <w:pPr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4.7. Araç ve </w:t>
      </w:r>
      <w:r w:rsidR="009D7811" w:rsidRPr="008A393B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makine </w:t>
      </w: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kullanımı üzerindeki etkiler</w:t>
      </w:r>
    </w:p>
    <w:p w:rsidR="009D7128" w:rsidRPr="008A393B" w:rsidRDefault="009D7128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Santral sinir sistemine etki eden birçok ilaç gibi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dikkat ve uyanıklıkta azalmaya yol açabileceği için taşıt sürücüleri ve makine operatörleri için tehlikeli sonuçlar yaratabilir.</w:t>
      </w:r>
    </w:p>
    <w:p w:rsidR="001A1BC5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603451" w:rsidP="009D7811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4.8. İstenmeyen etkiler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Çok yayg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(≥1/10); yayg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(≥1/100 ila &lt;1/10); yayg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olmayan (≥1/1.000 ila &lt;1/100); seyrek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(≥1/10.000 ila &lt;1/1.000); çok seyrek (&lt;1/10.000), bilinmiyor (eldeki verilerden hareketle tahmin edilemiyor).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Psikiyatrik hastalıkları</w:t>
      </w:r>
    </w:p>
    <w:p w:rsidR="009D7811" w:rsidRPr="008A393B" w:rsidRDefault="001A1BC5" w:rsidP="009D7811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Yaygın: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Uyuklama, halsizlik, bitkinlik, sersemlik ve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ataksi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Konfüzyon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depresyon, libidoda değişme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Akut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hipereksitasyon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durumları,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halüsinasyonlar, kas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spastisitesinde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artma, uykusuzluk, sinirlilik, uyku rahatsızlıkları ve uyarılma gibi paradoksal reaksiyonlar rapor edilmiştir. Bu etkiler görüldüğü takdirde ilaç kullanımı bırakılmalıdır.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Sinir sistemi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Baş ağrısı, baş dönmesi, tremor, konuşurken dilin dolaşması (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disartri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Göz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Çift görme, bulanık görme</w:t>
      </w:r>
    </w:p>
    <w:p w:rsidR="00A968FC" w:rsidRPr="008A393B" w:rsidRDefault="00A968FC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Vasküler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Hipotansiyon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Gastrointestinal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Konstipasyon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bulantı,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tükrük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salgılanmasında görülen değişiklikler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Hepato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-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bilier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Sarılık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Deri ve</w:t>
      </w:r>
      <w:r w:rsidR="009D7811" w:rsidRPr="008A393B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 deri </w:t>
      </w: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altı doku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Deri döküntüleri</w:t>
      </w:r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Böbrek</w:t>
      </w:r>
      <w:r w:rsidR="009D7811" w:rsidRPr="008A393B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 ve </w:t>
      </w: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idrar hastalıkları </w:t>
      </w:r>
    </w:p>
    <w:p w:rsidR="00603451" w:rsidRPr="008A393B" w:rsidRDefault="001A1BC5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Üriner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retansiyon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inkontinans</w:t>
      </w:r>
      <w:proofErr w:type="spellEnd"/>
    </w:p>
    <w:p w:rsidR="00603451" w:rsidRPr="008A393B" w:rsidRDefault="00603451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Araştırmalar</w:t>
      </w:r>
    </w:p>
    <w:p w:rsidR="009D7811" w:rsidRPr="008A393B" w:rsidRDefault="001A1BC5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Uzun süreli tedavilerde </w:t>
      </w:r>
      <w:proofErr w:type="spellStart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nötropeni</w:t>
      </w:r>
      <w:proofErr w:type="spellEnd"/>
      <w:r w:rsidR="0060345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sarılık rapor edildiğinden periyodik kan sayımı ve karaciğer fonksiyon testleri yapılması önerilir.</w:t>
      </w:r>
    </w:p>
    <w:p w:rsidR="000464D2" w:rsidRPr="008A393B" w:rsidRDefault="000464D2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F853ED" w:rsidRPr="008A393B" w:rsidRDefault="00F853ED" w:rsidP="00F853E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4"/>
          <w:u w:val="single"/>
          <w:lang w:eastAsia="nl-NL"/>
        </w:rPr>
      </w:pPr>
      <w:proofErr w:type="spellStart"/>
      <w:r w:rsidRPr="008A393B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Ş</w:t>
      </w:r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üpheli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advers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reaksiyonlar</w:t>
      </w:r>
      <w:r w:rsidRPr="008A393B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n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raporlanmas</w:t>
      </w:r>
      <w:r w:rsidRPr="008A393B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ı</w:t>
      </w:r>
      <w:proofErr w:type="spellEnd"/>
    </w:p>
    <w:p w:rsidR="00F853ED" w:rsidRPr="008A393B" w:rsidRDefault="00F853ED" w:rsidP="00F853E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4"/>
          <w:lang w:eastAsia="nl-NL"/>
        </w:rPr>
      </w:pPr>
      <w:proofErr w:type="spellStart"/>
      <w:proofErr w:type="gram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Ruhsatland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rma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sonras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ş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üpheli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ilaç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advers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reaksiyonlar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raporlanmas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büyük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önem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ta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şı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maktad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Raporlama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yap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lmas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,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ilac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yarar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/risk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dengesinin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sürekli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olarak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izlenmesine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olanak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sa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lar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Sa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l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k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mesle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mensuplar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herhangi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bir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 w:hint="eastAsia"/>
          <w:spacing w:val="0"/>
          <w:sz w:val="24"/>
          <w:szCs w:val="24"/>
          <w:lang w:eastAsia="nl-NL"/>
        </w:rPr>
        <w:t>şü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pheli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advers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reaksiyonu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Türkiye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Farmakovijilans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Merkezi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(TÜFAM)'ne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bildirmeleri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gerekmektedir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 (</w:t>
      </w:r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www.titck.gov.tr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;          e-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posta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: </w:t>
      </w:r>
      <w:r w:rsidRPr="008A393B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tufam@titck.gov.tr</w:t>
      </w:r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;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tel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 xml:space="preserve">: 0 800 314 00 08; </w:t>
      </w:r>
      <w:proofErr w:type="spellStart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faks</w:t>
      </w:r>
      <w:proofErr w:type="spellEnd"/>
      <w:r w:rsidRPr="008A393B">
        <w:rPr>
          <w:rFonts w:ascii="Times New Roman" w:hAnsi="Times New Roman"/>
          <w:spacing w:val="0"/>
          <w:sz w:val="24"/>
          <w:szCs w:val="24"/>
          <w:lang w:eastAsia="nl-NL"/>
        </w:rPr>
        <w:t>: 0 312 218 35 99)</w:t>
      </w:r>
    </w:p>
    <w:p w:rsidR="00F853ED" w:rsidRPr="008A393B" w:rsidRDefault="00F853ED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4.9. Doz aşımı ve tedavisi</w:t>
      </w:r>
    </w:p>
    <w:p w:rsidR="009D7128" w:rsidRPr="008A393B" w:rsidRDefault="009800F7" w:rsidP="00B729C7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Belirtiler</w:t>
      </w:r>
      <w:r w:rsidR="004F77E0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</w:t>
      </w:r>
    </w:p>
    <w:p w:rsidR="009D7811" w:rsidRPr="008A393B" w:rsidRDefault="004F77E0" w:rsidP="009D7811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Yüksek dozda uyuklama,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mental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konfüzyon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ayakta duramama, konuşmada güçlük,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bradikardi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solunum zayıflaması, aşırı halsizlik görülebilir. </w:t>
      </w:r>
    </w:p>
    <w:p w:rsidR="009D7128" w:rsidRPr="008A393B" w:rsidRDefault="009D7128" w:rsidP="00B729C7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Önlemler:</w:t>
      </w:r>
    </w:p>
    <w:p w:rsidR="00667799" w:rsidRPr="008A393B" w:rsidRDefault="004F77E0" w:rsidP="00667799">
      <w:pPr>
        <w:tabs>
          <w:tab w:val="left" w:pos="426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Hasta bilinçli ise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emesis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mekanik olarak veya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emetiklerle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sağlanır. Hasta bilinçsiz ise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gastrik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lavaj yapılabilir. Solunum, nabız ve kan basıncı gözlenmelidir. Se</w:t>
      </w:r>
      <w:r w:rsidR="00D60FC9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rum uygulanabilir. Hipotansiyon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İ.V. 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norepinefrin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metaraminolle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kontrol altına alınabilir.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Eksitasyon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oluşursa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barbitüratlar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kullanılmamalıdır.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Dializin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pek bir önemi yoktur. </w:t>
      </w:r>
    </w:p>
    <w:p w:rsidR="000464D2" w:rsidRPr="008A393B" w:rsidRDefault="000464D2" w:rsidP="00667799">
      <w:pPr>
        <w:tabs>
          <w:tab w:val="left" w:pos="426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5.  FARMAKOLOJİK ÖZELLİKLER</w:t>
      </w:r>
    </w:p>
    <w:p w:rsidR="009D7811" w:rsidRPr="008A393B" w:rsidRDefault="009800F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5.1. Farmakodinamik özellikler</w:t>
      </w:r>
    </w:p>
    <w:p w:rsidR="009800F7" w:rsidRPr="008A393B" w:rsidRDefault="009D7811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Farmakoterapötik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 grup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</w:t>
      </w:r>
      <w:r w:rsidR="009800F7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türevleri</w:t>
      </w:r>
    </w:p>
    <w:p w:rsidR="009800F7" w:rsidRPr="008A393B" w:rsidRDefault="009D7811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ATC kodu:</w:t>
      </w:r>
      <w:r w:rsidR="009800F7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N05BA01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9D7811" w:rsidRPr="008A393B" w:rsidRDefault="009800F7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sisteminde spesifik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reseptörleriyle etkileşerek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GABA’nın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çeşitli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sinapslardaki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post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sinaptik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inhibisyonunu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maksimize ederek etki ortaya koyar. 5-HT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noradrenerjik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nöronlardaki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inhibisyonun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etkilerden sorumlu olabileceğini gösteren çeşitli çalışmalar mevcuttur.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Kortikal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reseptörlerinin ise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antikonvülsan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etkilerden sorumlu olabileceği ileri sürülmektedir. </w:t>
      </w:r>
    </w:p>
    <w:p w:rsidR="000464D2" w:rsidRPr="008A393B" w:rsidRDefault="000464D2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9800F7" w:rsidP="009D7811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5.2. </w:t>
      </w:r>
      <w:proofErr w:type="spellStart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Farmakokinetik</w:t>
      </w:r>
      <w:proofErr w:type="spellEnd"/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özellikler</w:t>
      </w:r>
    </w:p>
    <w:p w:rsidR="009800F7" w:rsidRPr="008A393B" w:rsidRDefault="009800F7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özellikler</w:t>
      </w:r>
    </w:p>
    <w:p w:rsidR="009800F7" w:rsidRPr="008A393B" w:rsidRDefault="009800F7" w:rsidP="00B729C7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Emilim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büyük bölümü (&gt;%90) oral uygulamanın ardından emilmektedir.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or</w:t>
      </w:r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 derece yağlı yemeklerle birlikte uygulandığında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emilim azalmakta veya gecikmektedir.</w:t>
      </w:r>
    </w:p>
    <w:p w:rsidR="009800F7" w:rsidRPr="008A393B" w:rsidRDefault="009800F7" w:rsidP="00B729C7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Da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l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m: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proteinlerine yüksek oranda bağlanmaktadır. Ayrıca, kan-beyin ve plasenta bariyerini geçerler.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anne sütünde yaklaşık olarak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maternal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plazmanın </w:t>
      </w: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1:10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konsantrasyonu kadar bulunur. (doğum sonrası 3-9 günlerde). İlacın konsantrasyon zaman eğrisi profilindeki sapma oral uygulama sonrasında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bifaziktir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</w:p>
    <w:p w:rsidR="009D7811" w:rsidRPr="008A393B" w:rsidRDefault="009800F7" w:rsidP="009D7811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u w:val="single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Biyotransformasyon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: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karaciğerde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biyotransformasyona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uğrayarak N-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temazepam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oksazepam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 aktif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dönüşür.</w:t>
      </w:r>
    </w:p>
    <w:p w:rsidR="000464D2" w:rsidRPr="008A393B" w:rsidRDefault="009800F7" w:rsidP="000464D2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Eliminasyon: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 yarı ömrü oldukça uzundur.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 yarı ömrü 20-70 saat, N-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30-200 saat,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temazepamın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10-20 saat ve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oksazepamın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5-15 saat olduğu düşünülürse ilacın kronik kullanımında kısa sürede </w:t>
      </w: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kümülasyona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uğrayacağı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gözönüne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alınmalıdır. Artık etki bırakabileceğinden iyi bir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sayılmaz.</w:t>
      </w:r>
      <w:r w:rsidR="00A00778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Serbest ya da </w:t>
      </w:r>
      <w:proofErr w:type="spellStart"/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konjuge</w:t>
      </w:r>
      <w:proofErr w:type="spellEnd"/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formda</w:t>
      </w:r>
      <w:r w:rsidR="00613279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</w:t>
      </w:r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temel </w:t>
      </w:r>
      <w:proofErr w:type="spellStart"/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="000464D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şeklinde idrarla atılır. </w:t>
      </w:r>
    </w:p>
    <w:p w:rsidR="009800F7" w:rsidRPr="008A393B" w:rsidRDefault="009800F7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Do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rusall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k/do</w:t>
      </w:r>
      <w:r w:rsidRPr="008A393B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 olmayan durum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Veri bulunmamaktadır.</w:t>
      </w:r>
    </w:p>
    <w:p w:rsidR="0032762F" w:rsidRPr="008A393B" w:rsidRDefault="0032762F" w:rsidP="00B729C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</w:pPr>
    </w:p>
    <w:p w:rsidR="009D7811" w:rsidRPr="008A393B" w:rsidRDefault="00073968" w:rsidP="009D7811">
      <w:pPr>
        <w:tabs>
          <w:tab w:val="left" w:pos="1200"/>
        </w:tabs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5.3. </w:t>
      </w:r>
      <w:r w:rsidR="000D1BEA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Klinik ö</w:t>
      </w:r>
      <w:r w:rsidR="00FF5152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ncesi </w:t>
      </w:r>
      <w:r w:rsidR="000D1BEA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</w:t>
      </w:r>
      <w:r w:rsidR="00FF5152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üven</w:t>
      </w:r>
      <w:r w:rsidR="001E2C98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li</w:t>
      </w:r>
      <w:r w:rsidR="00FF5152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lik </w:t>
      </w:r>
      <w:r w:rsidR="000D1BEA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v</w:t>
      </w:r>
      <w:r w:rsidR="00FF5152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erileri</w:t>
      </w:r>
    </w:p>
    <w:p w:rsidR="009D7811" w:rsidRPr="008A393B" w:rsidRDefault="004F77E0" w:rsidP="009D7811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Müstahzarın içerdiği etkin madde klinikte uzun yıllardır kullanılan bir maddedir. Hakkındaki </w:t>
      </w:r>
    </w:p>
    <w:p w:rsidR="009D7811" w:rsidRPr="008A393B" w:rsidRDefault="004F77E0" w:rsidP="009D7811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çalışmalar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tamamlanmıştır. Kullanımları ile ilgili olarak görülebilecek olumsuz etkiler ilgili </w:t>
      </w:r>
    </w:p>
    <w:p w:rsidR="009D7811" w:rsidRPr="008A393B" w:rsidRDefault="004F77E0" w:rsidP="009D7811">
      <w:pPr>
        <w:pStyle w:val="GvdeMetniGirintisi"/>
        <w:spacing w:after="0"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bölümlerde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yer almaktadır </w:t>
      </w:r>
      <w:r w:rsidR="009D781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</w:t>
      </w:r>
      <w:r w:rsidR="00747C7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bkz. 4.4. Özel kullanım uyarıları ve önlemleri, 4.5. Diğer tıbbi ürünler ile etkileşimler ve diğer etkileşim şekilleri, 4.8. İstenmeyen etkiler, 4.9. Doz aşımı ve tedavisi</w:t>
      </w:r>
      <w:r w:rsidR="009D7811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).</w:t>
      </w:r>
    </w:p>
    <w:p w:rsidR="00AE1CAF" w:rsidRPr="008A393B" w:rsidRDefault="00AE1CAF" w:rsidP="009D7811">
      <w:pPr>
        <w:spacing w:before="12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D7811" w:rsidRPr="008A393B" w:rsidRDefault="009800F7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 FARMASÖTİK ÖZELLİKLER</w:t>
      </w:r>
    </w:p>
    <w:p w:rsidR="009800F7" w:rsidRPr="008A393B" w:rsidRDefault="009800F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6.1. Yardımcı maddelerin listesi</w:t>
      </w:r>
    </w:p>
    <w:p w:rsidR="009D7811" w:rsidRPr="008A393B" w:rsidRDefault="004F77E0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Laktoz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monohidrat</w:t>
      </w:r>
      <w:proofErr w:type="spellEnd"/>
    </w:p>
    <w:p w:rsidR="004F77E0" w:rsidRPr="008A393B" w:rsidRDefault="004F77E0" w:rsidP="00B729C7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Nişasta</w:t>
      </w:r>
    </w:p>
    <w:p w:rsidR="005518C2" w:rsidRPr="008A393B" w:rsidRDefault="004F77E0" w:rsidP="00B729C7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Magnezyum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stearat</w:t>
      </w:r>
      <w:proofErr w:type="spellEnd"/>
      <w:r w:rsidR="00B53AC5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FE190B" w:rsidRPr="008A393B" w:rsidRDefault="00FE190B" w:rsidP="00B729C7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İndigotin</w:t>
      </w:r>
      <w:proofErr w:type="spellEnd"/>
    </w:p>
    <w:p w:rsidR="00FE190B" w:rsidRPr="008A393B" w:rsidRDefault="00FE190B" w:rsidP="00B729C7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Titanyum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dioksid</w:t>
      </w:r>
      <w:proofErr w:type="spellEnd"/>
    </w:p>
    <w:p w:rsidR="00FE190B" w:rsidRPr="008A393B" w:rsidRDefault="00FE190B" w:rsidP="00B729C7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Tartrazin</w:t>
      </w:r>
      <w:proofErr w:type="spellEnd"/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6.2. Geçimsizlikler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9D7811" w:rsidRPr="008A393B" w:rsidRDefault="00F70CD3" w:rsidP="009D7811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İlaç etkileşimleri ile ilgili bilgiler için bkz. </w:t>
      </w:r>
      <w:proofErr w:type="gram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4.5</w:t>
      </w:r>
      <w:proofErr w:type="gram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Diğer tıbbi ürünler ile etkileşimler ve diğer etkileşim şekilleri</w:t>
      </w:r>
    </w:p>
    <w:p w:rsidR="004A0662" w:rsidRPr="008A393B" w:rsidRDefault="004A0662" w:rsidP="00B729C7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Diazepam’ın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kullanılan yardımcı maddeler ile geçimsizliği yoktur.</w:t>
      </w: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6.3. Raf ömrü</w:t>
      </w:r>
    </w:p>
    <w:p w:rsidR="001D0AF9" w:rsidRPr="008A393B" w:rsidRDefault="009D7811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48 </w:t>
      </w:r>
      <w:r w:rsidR="009800F7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</w:t>
      </w:r>
      <w:r w:rsidR="00956053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</w:t>
      </w:r>
    </w:p>
    <w:p w:rsidR="009800F7" w:rsidRPr="008A393B" w:rsidRDefault="009800F7" w:rsidP="00B729C7">
      <w:pPr>
        <w:spacing w:before="12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6.4. 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Saklamaya yönelik özel tedbirler</w:t>
      </w:r>
    </w:p>
    <w:p w:rsidR="001D0AF9" w:rsidRPr="008A393B" w:rsidRDefault="004A0662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30</w:t>
      </w:r>
      <w:r w:rsidR="000C52B9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°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C’in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altında</w:t>
      </w:r>
      <w:r w:rsidR="00C37CAD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ki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oda </w:t>
      </w:r>
      <w:r w:rsidR="00D23E6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sıcaklığında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ışıktan koruyarak saklayınız.</w:t>
      </w: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6.5. </w:t>
      </w:r>
      <w:r w:rsidR="00073968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Ambalajın </w:t>
      </w:r>
      <w:r w:rsidR="001E2C98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niteliği</w:t>
      </w:r>
      <w:r w:rsidR="00073968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içeriği</w:t>
      </w:r>
    </w:p>
    <w:p w:rsidR="009D7811" w:rsidRPr="008A393B" w:rsidRDefault="004A0662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Bir yüzü şeffaf PVC folyo, diğer yüzü üzeri baskılı alüminyum folyo kaplı </w:t>
      </w:r>
    </w:p>
    <w:p w:rsidR="009D7811" w:rsidRPr="008A393B" w:rsidRDefault="004A0662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25 kapsüllük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blisterler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9D7811" w:rsidRPr="008A393B" w:rsidRDefault="004A0662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Her bir karton kutu 25 veya 50 kapsül içermektedir.</w:t>
      </w:r>
    </w:p>
    <w:p w:rsidR="009D7811" w:rsidRPr="008A393B" w:rsidRDefault="009800F7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6.6. Beşeri tıbbi üründen arta kalan maddelerin imhası ve diğer özel önlemler</w:t>
      </w:r>
    </w:p>
    <w:p w:rsidR="004A0662" w:rsidRPr="008A393B" w:rsidRDefault="002F1127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Kullanılmamış olan ürünler ya da atık materyaller “Tıbbi Atıkların Kontrolü Yönetmeliği” ve Ambalaj ve Ambalaj Atıklarının Kontrolü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Yönetmelik”lerine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uygun olarak imha edilmelidir. </w:t>
      </w:r>
    </w:p>
    <w:p w:rsidR="000D1BEA" w:rsidRPr="008A393B" w:rsidRDefault="000D1BEA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073968" w:rsidP="009D7811">
      <w:pPr>
        <w:spacing w:before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7. RUHSAT SAHİBİ</w:t>
      </w:r>
    </w:p>
    <w:p w:rsidR="007F387E" w:rsidRPr="008A393B" w:rsidRDefault="007F387E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DEVA H</w:t>
      </w:r>
      <w:r w:rsidR="00B572BB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olding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A.Ş.</w:t>
      </w:r>
    </w:p>
    <w:p w:rsidR="00390400" w:rsidRPr="008A393B" w:rsidRDefault="00390400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Halkalı Merkez Mah.</w:t>
      </w:r>
      <w:r w:rsidR="000C52B9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Basın Ekspres Cad.</w:t>
      </w:r>
    </w:p>
    <w:p w:rsidR="00390400" w:rsidRPr="008A393B" w:rsidRDefault="00390400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No: 1  34303</w:t>
      </w:r>
    </w:p>
    <w:p w:rsidR="00390400" w:rsidRPr="008A393B" w:rsidRDefault="00390400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Küçükçekmece - İstanbul</w:t>
      </w:r>
    </w:p>
    <w:p w:rsidR="00390400" w:rsidRPr="008A393B" w:rsidRDefault="00390400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Tel: 0 212 692 92 </w:t>
      </w: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92</w:t>
      </w:r>
      <w:proofErr w:type="spellEnd"/>
    </w:p>
    <w:p w:rsidR="00390400" w:rsidRPr="008A393B" w:rsidRDefault="00390400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Fax</w:t>
      </w:r>
      <w:proofErr w:type="spellEnd"/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0 212 697 00 24</w:t>
      </w:r>
    </w:p>
    <w:p w:rsidR="000D1BEA" w:rsidRPr="008A393B" w:rsidRDefault="000D1BEA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073968" w:rsidP="009D7811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8. RUHSAT NUMARASI</w:t>
      </w:r>
    </w:p>
    <w:p w:rsidR="001D0AF9" w:rsidRPr="008A393B" w:rsidRDefault="004A0662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83</w:t>
      </w:r>
      <w:r w:rsidR="007F387E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/</w:t>
      </w:r>
      <w:r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49</w:t>
      </w:r>
    </w:p>
    <w:p w:rsidR="00AE1CAF" w:rsidRPr="008A393B" w:rsidRDefault="00AE1CAF" w:rsidP="00B729C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D7811" w:rsidRPr="008A393B" w:rsidRDefault="00073968" w:rsidP="009D7811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9. İLK RUHSAT TARİHİ</w:t>
      </w:r>
      <w:r w:rsidR="00FF5152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/</w:t>
      </w:r>
      <w:r w:rsidR="00FF5152"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8A393B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RUHSAT YENİLEME TARİHİ</w:t>
      </w:r>
    </w:p>
    <w:p w:rsidR="009D7811" w:rsidRPr="008A393B" w:rsidRDefault="009D7811" w:rsidP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İlk ruhsat tarihi:</w:t>
      </w:r>
      <w:r w:rsidR="00CD0F33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4A0662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14.09.1966</w:t>
      </w:r>
    </w:p>
    <w:p w:rsidR="000D1BEA" w:rsidRPr="008A393B" w:rsidRDefault="009D781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spacing w:val="0"/>
          <w:position w:val="0"/>
          <w:sz w:val="24"/>
          <w:lang w:val="tr-TR"/>
        </w:rPr>
        <w:t>Ruhsat yenileme tarihi:</w:t>
      </w:r>
      <w:r w:rsidR="000C52B9" w:rsidRPr="008A393B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r w:rsidR="00321C76" w:rsidRPr="008A393B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01.03.2004</w:t>
      </w:r>
    </w:p>
    <w:p w:rsidR="000D1BEA" w:rsidRPr="008A393B" w:rsidRDefault="000D1BEA" w:rsidP="00A968FC">
      <w:pPr>
        <w:spacing w:before="12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5D563E" w:rsidRPr="008A393B" w:rsidRDefault="00073968">
      <w:pPr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10. KÜB’ÜN </w:t>
      </w:r>
      <w:r w:rsidR="00FF5152"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YENİLENME</w:t>
      </w:r>
      <w:r w:rsidRPr="008A393B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TARİHİ</w:t>
      </w:r>
    </w:p>
    <w:sectPr w:rsidR="005D563E" w:rsidRPr="008A393B" w:rsidSect="00B729C7">
      <w:footerReference w:type="default" r:id="rId9"/>
      <w:pgSz w:w="11907" w:h="16840" w:code="9"/>
      <w:pgMar w:top="1418" w:right="1418" w:bottom="993" w:left="1418" w:header="709" w:footer="43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29" w:rsidRDefault="005E6029">
      <w:r>
        <w:separator/>
      </w:r>
    </w:p>
  </w:endnote>
  <w:endnote w:type="continuationSeparator" w:id="0">
    <w:p w:rsidR="005E6029" w:rsidRDefault="005E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5303501"/>
      <w:docPartObj>
        <w:docPartGallery w:val="Page Numbers (Bottom of Page)"/>
        <w:docPartUnique/>
      </w:docPartObj>
    </w:sdtPr>
    <w:sdtContent>
      <w:sdt>
        <w:sdtPr>
          <w:rPr>
            <w:sz w:val="28"/>
          </w:rPr>
          <w:id w:val="861459903"/>
          <w:docPartObj>
            <w:docPartGallery w:val="Page Numbers (Top of Page)"/>
            <w:docPartUnique/>
          </w:docPartObj>
        </w:sdtPr>
        <w:sdtContent>
          <w:p w:rsidR="004B16F7" w:rsidRPr="00AE1CAF" w:rsidRDefault="004B16F7" w:rsidP="00AE1CAF">
            <w:pPr>
              <w:pStyle w:val="Altbilgi"/>
              <w:jc w:val="right"/>
              <w:rPr>
                <w:sz w:val="28"/>
              </w:rPr>
            </w:pPr>
            <w:proofErr w:type="spellStart"/>
            <w:r w:rsidRPr="000A0DF7">
              <w:rPr>
                <w:rFonts w:asciiTheme="minorHAnsi" w:hAnsiTheme="minorHAnsi"/>
              </w:rPr>
              <w:t>Sayfa</w:t>
            </w:r>
            <w:proofErr w:type="spellEnd"/>
            <w:r w:rsidRPr="000A0DF7">
              <w:rPr>
                <w:rFonts w:asciiTheme="minorHAnsi" w:hAnsiTheme="minorHAnsi"/>
              </w:rPr>
              <w:t xml:space="preserve"> </w:t>
            </w:r>
            <w:r w:rsidR="00B1099E" w:rsidRPr="000A0DF7">
              <w:rPr>
                <w:rFonts w:asciiTheme="minorHAnsi" w:hAnsiTheme="minorHAnsi"/>
              </w:rPr>
              <w:fldChar w:fldCharType="begin"/>
            </w:r>
            <w:r w:rsidRPr="000A0DF7">
              <w:rPr>
                <w:rFonts w:asciiTheme="minorHAnsi" w:hAnsiTheme="minorHAnsi"/>
              </w:rPr>
              <w:instrText>PAGE</w:instrText>
            </w:r>
            <w:r w:rsidR="00B1099E" w:rsidRPr="000A0DF7">
              <w:rPr>
                <w:rFonts w:asciiTheme="minorHAnsi" w:hAnsiTheme="minorHAnsi"/>
              </w:rPr>
              <w:fldChar w:fldCharType="separate"/>
            </w:r>
            <w:r w:rsidR="008A393B">
              <w:rPr>
                <w:rFonts w:asciiTheme="minorHAnsi" w:hAnsiTheme="minorHAnsi"/>
                <w:noProof/>
              </w:rPr>
              <w:t>8</w:t>
            </w:r>
            <w:r w:rsidR="00B1099E" w:rsidRPr="000A0DF7">
              <w:rPr>
                <w:rFonts w:asciiTheme="minorHAnsi" w:hAnsiTheme="minorHAnsi"/>
              </w:rPr>
              <w:fldChar w:fldCharType="end"/>
            </w:r>
            <w:r w:rsidRPr="000A0DF7">
              <w:rPr>
                <w:rFonts w:asciiTheme="minorHAnsi" w:hAnsiTheme="minorHAnsi"/>
              </w:rPr>
              <w:t xml:space="preserve"> / </w:t>
            </w:r>
            <w:r w:rsidR="00B1099E" w:rsidRPr="000A0DF7">
              <w:rPr>
                <w:rFonts w:asciiTheme="minorHAnsi" w:hAnsiTheme="minorHAnsi"/>
              </w:rPr>
              <w:fldChar w:fldCharType="begin"/>
            </w:r>
            <w:r w:rsidRPr="000A0DF7">
              <w:rPr>
                <w:rFonts w:asciiTheme="minorHAnsi" w:hAnsiTheme="minorHAnsi"/>
              </w:rPr>
              <w:instrText>NUMPAGES</w:instrText>
            </w:r>
            <w:r w:rsidR="00B1099E" w:rsidRPr="000A0DF7">
              <w:rPr>
                <w:rFonts w:asciiTheme="minorHAnsi" w:hAnsiTheme="minorHAnsi"/>
              </w:rPr>
              <w:fldChar w:fldCharType="separate"/>
            </w:r>
            <w:r w:rsidR="008A393B">
              <w:rPr>
                <w:rFonts w:asciiTheme="minorHAnsi" w:hAnsiTheme="minorHAnsi"/>
                <w:noProof/>
              </w:rPr>
              <w:t>9</w:t>
            </w:r>
            <w:r w:rsidR="00B1099E" w:rsidRPr="000A0DF7">
              <w:rPr>
                <w:rFonts w:asciiTheme="minorHAnsi" w:hAnsiTheme="minorHAnsi"/>
              </w:rPr>
              <w:fldChar w:fldCharType="end"/>
            </w:r>
          </w:p>
        </w:sdtContent>
      </w:sdt>
    </w:sdtContent>
  </w:sdt>
  <w:p w:rsidR="004B16F7" w:rsidRDefault="004B16F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29" w:rsidRDefault="005E6029">
      <w:r>
        <w:separator/>
      </w:r>
    </w:p>
  </w:footnote>
  <w:footnote w:type="continuationSeparator" w:id="0">
    <w:p w:rsidR="005E6029" w:rsidRDefault="005E6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6AB"/>
    <w:multiLevelType w:val="hybridMultilevel"/>
    <w:tmpl w:val="A08CB70A"/>
    <w:lvl w:ilvl="0" w:tplc="37285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219"/>
    <w:multiLevelType w:val="multilevel"/>
    <w:tmpl w:val="E0944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EA1DFB"/>
    <w:multiLevelType w:val="multilevel"/>
    <w:tmpl w:val="4C46A472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D04F5E"/>
    <w:multiLevelType w:val="singleLevel"/>
    <w:tmpl w:val="2D683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6C4EC5"/>
    <w:multiLevelType w:val="multilevel"/>
    <w:tmpl w:val="58AC57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>
    <w:nsid w:val="1B6237A6"/>
    <w:multiLevelType w:val="hybridMultilevel"/>
    <w:tmpl w:val="A4503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D428C"/>
    <w:multiLevelType w:val="hybridMultilevel"/>
    <w:tmpl w:val="383808E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77360"/>
    <w:multiLevelType w:val="hybridMultilevel"/>
    <w:tmpl w:val="70A62E8E"/>
    <w:lvl w:ilvl="0" w:tplc="FB4086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72B8E"/>
    <w:multiLevelType w:val="singleLevel"/>
    <w:tmpl w:val="2DF8FE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DE08E5"/>
    <w:multiLevelType w:val="multilevel"/>
    <w:tmpl w:val="B35E9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22B7E0C"/>
    <w:multiLevelType w:val="singleLevel"/>
    <w:tmpl w:val="A5648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5E1F1630"/>
    <w:multiLevelType w:val="singleLevel"/>
    <w:tmpl w:val="F13AF8B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</w:abstractNum>
  <w:abstractNum w:abstractNumId="12">
    <w:nsid w:val="6C455DF5"/>
    <w:multiLevelType w:val="hybridMultilevel"/>
    <w:tmpl w:val="57B6496C"/>
    <w:lvl w:ilvl="0" w:tplc="F1584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D14"/>
    <w:rsid w:val="0001200D"/>
    <w:rsid w:val="00013B59"/>
    <w:rsid w:val="000252A0"/>
    <w:rsid w:val="00030304"/>
    <w:rsid w:val="000308DF"/>
    <w:rsid w:val="000357F8"/>
    <w:rsid w:val="000464D2"/>
    <w:rsid w:val="00063ACE"/>
    <w:rsid w:val="0006522E"/>
    <w:rsid w:val="00066C94"/>
    <w:rsid w:val="00066EB8"/>
    <w:rsid w:val="00073968"/>
    <w:rsid w:val="000A0DF7"/>
    <w:rsid w:val="000A656C"/>
    <w:rsid w:val="000B1070"/>
    <w:rsid w:val="000B6163"/>
    <w:rsid w:val="000C328E"/>
    <w:rsid w:val="000C366A"/>
    <w:rsid w:val="000C4469"/>
    <w:rsid w:val="000C52B9"/>
    <w:rsid w:val="000D1BEA"/>
    <w:rsid w:val="000D2C9A"/>
    <w:rsid w:val="000D6EE4"/>
    <w:rsid w:val="00103EA0"/>
    <w:rsid w:val="00122D48"/>
    <w:rsid w:val="001334F3"/>
    <w:rsid w:val="001367A0"/>
    <w:rsid w:val="00143F37"/>
    <w:rsid w:val="00151AE8"/>
    <w:rsid w:val="00156029"/>
    <w:rsid w:val="0016553C"/>
    <w:rsid w:val="0016554F"/>
    <w:rsid w:val="001834A5"/>
    <w:rsid w:val="00195B07"/>
    <w:rsid w:val="001A1BC5"/>
    <w:rsid w:val="001B0B0F"/>
    <w:rsid w:val="001C60F5"/>
    <w:rsid w:val="001C6AD2"/>
    <w:rsid w:val="001C7A7D"/>
    <w:rsid w:val="001D0AF9"/>
    <w:rsid w:val="001D0E38"/>
    <w:rsid w:val="001D2CCF"/>
    <w:rsid w:val="001D5CB5"/>
    <w:rsid w:val="001E2C98"/>
    <w:rsid w:val="00204984"/>
    <w:rsid w:val="00205162"/>
    <w:rsid w:val="00240EAB"/>
    <w:rsid w:val="0024159F"/>
    <w:rsid w:val="00247069"/>
    <w:rsid w:val="00257F70"/>
    <w:rsid w:val="002612A2"/>
    <w:rsid w:val="002616D4"/>
    <w:rsid w:val="0026659F"/>
    <w:rsid w:val="00266954"/>
    <w:rsid w:val="00272E04"/>
    <w:rsid w:val="00290009"/>
    <w:rsid w:val="00293A8F"/>
    <w:rsid w:val="002A687E"/>
    <w:rsid w:val="002B0540"/>
    <w:rsid w:val="002D1171"/>
    <w:rsid w:val="002E7C03"/>
    <w:rsid w:val="002F1127"/>
    <w:rsid w:val="00300E05"/>
    <w:rsid w:val="0030501D"/>
    <w:rsid w:val="00310FC4"/>
    <w:rsid w:val="00313806"/>
    <w:rsid w:val="00321C76"/>
    <w:rsid w:val="0032762F"/>
    <w:rsid w:val="00330D01"/>
    <w:rsid w:val="00335EE0"/>
    <w:rsid w:val="00355E19"/>
    <w:rsid w:val="00361B5C"/>
    <w:rsid w:val="00361DFC"/>
    <w:rsid w:val="00364962"/>
    <w:rsid w:val="003663AF"/>
    <w:rsid w:val="00390400"/>
    <w:rsid w:val="003D4AD0"/>
    <w:rsid w:val="003F0880"/>
    <w:rsid w:val="003F2697"/>
    <w:rsid w:val="00402F86"/>
    <w:rsid w:val="004044E6"/>
    <w:rsid w:val="00406329"/>
    <w:rsid w:val="00414D72"/>
    <w:rsid w:val="00415D48"/>
    <w:rsid w:val="00424247"/>
    <w:rsid w:val="00426EFD"/>
    <w:rsid w:val="00433D56"/>
    <w:rsid w:val="00434532"/>
    <w:rsid w:val="0044011C"/>
    <w:rsid w:val="00442A9E"/>
    <w:rsid w:val="00443565"/>
    <w:rsid w:val="00460852"/>
    <w:rsid w:val="00464067"/>
    <w:rsid w:val="004761FF"/>
    <w:rsid w:val="00481F5F"/>
    <w:rsid w:val="00483974"/>
    <w:rsid w:val="0049395F"/>
    <w:rsid w:val="004A0662"/>
    <w:rsid w:val="004B16F7"/>
    <w:rsid w:val="004B3F2C"/>
    <w:rsid w:val="004B49D4"/>
    <w:rsid w:val="004C0FB3"/>
    <w:rsid w:val="004C2860"/>
    <w:rsid w:val="004D0706"/>
    <w:rsid w:val="004E4201"/>
    <w:rsid w:val="004F77E0"/>
    <w:rsid w:val="00507ADB"/>
    <w:rsid w:val="00517E27"/>
    <w:rsid w:val="00521AED"/>
    <w:rsid w:val="00541F13"/>
    <w:rsid w:val="005518C2"/>
    <w:rsid w:val="00553087"/>
    <w:rsid w:val="00566D9A"/>
    <w:rsid w:val="0057452E"/>
    <w:rsid w:val="0057455B"/>
    <w:rsid w:val="005776F4"/>
    <w:rsid w:val="005954EB"/>
    <w:rsid w:val="005B588C"/>
    <w:rsid w:val="005C7281"/>
    <w:rsid w:val="005D563E"/>
    <w:rsid w:val="005E6029"/>
    <w:rsid w:val="005E643A"/>
    <w:rsid w:val="005F551A"/>
    <w:rsid w:val="00600D14"/>
    <w:rsid w:val="00603451"/>
    <w:rsid w:val="00606EC5"/>
    <w:rsid w:val="00610B47"/>
    <w:rsid w:val="00613279"/>
    <w:rsid w:val="00633DD6"/>
    <w:rsid w:val="0064542D"/>
    <w:rsid w:val="00651A21"/>
    <w:rsid w:val="00653BAC"/>
    <w:rsid w:val="0065549C"/>
    <w:rsid w:val="00664761"/>
    <w:rsid w:val="00667799"/>
    <w:rsid w:val="0067349D"/>
    <w:rsid w:val="0068239C"/>
    <w:rsid w:val="006A55B2"/>
    <w:rsid w:val="006A7E31"/>
    <w:rsid w:val="006C214D"/>
    <w:rsid w:val="006C31F3"/>
    <w:rsid w:val="006C4015"/>
    <w:rsid w:val="007051A2"/>
    <w:rsid w:val="0071221C"/>
    <w:rsid w:val="0072688A"/>
    <w:rsid w:val="00726B8E"/>
    <w:rsid w:val="00727D4D"/>
    <w:rsid w:val="00731F76"/>
    <w:rsid w:val="00746319"/>
    <w:rsid w:val="00747C76"/>
    <w:rsid w:val="00751420"/>
    <w:rsid w:val="00757753"/>
    <w:rsid w:val="00767054"/>
    <w:rsid w:val="00774592"/>
    <w:rsid w:val="00797261"/>
    <w:rsid w:val="007C0EBC"/>
    <w:rsid w:val="007E0C1A"/>
    <w:rsid w:val="007E3391"/>
    <w:rsid w:val="007F10B5"/>
    <w:rsid w:val="007F2AB9"/>
    <w:rsid w:val="007F387E"/>
    <w:rsid w:val="008014DE"/>
    <w:rsid w:val="008125C2"/>
    <w:rsid w:val="00820350"/>
    <w:rsid w:val="00837BBB"/>
    <w:rsid w:val="00847146"/>
    <w:rsid w:val="00851CC6"/>
    <w:rsid w:val="008973E5"/>
    <w:rsid w:val="008A2141"/>
    <w:rsid w:val="008A393B"/>
    <w:rsid w:val="008A5054"/>
    <w:rsid w:val="008B3327"/>
    <w:rsid w:val="008B4229"/>
    <w:rsid w:val="008C3EA5"/>
    <w:rsid w:val="008E086C"/>
    <w:rsid w:val="008E3575"/>
    <w:rsid w:val="00906CF9"/>
    <w:rsid w:val="00913837"/>
    <w:rsid w:val="00930CC4"/>
    <w:rsid w:val="00933E65"/>
    <w:rsid w:val="00956053"/>
    <w:rsid w:val="00975DF4"/>
    <w:rsid w:val="009800F7"/>
    <w:rsid w:val="009811A5"/>
    <w:rsid w:val="00987F11"/>
    <w:rsid w:val="009A006C"/>
    <w:rsid w:val="009B03FF"/>
    <w:rsid w:val="009B0DC1"/>
    <w:rsid w:val="009C28E5"/>
    <w:rsid w:val="009C53CC"/>
    <w:rsid w:val="009D31EB"/>
    <w:rsid w:val="009D7128"/>
    <w:rsid w:val="009D7811"/>
    <w:rsid w:val="009E65F1"/>
    <w:rsid w:val="009F2254"/>
    <w:rsid w:val="009F47BA"/>
    <w:rsid w:val="00A00778"/>
    <w:rsid w:val="00A016A1"/>
    <w:rsid w:val="00A043B4"/>
    <w:rsid w:val="00A04B1B"/>
    <w:rsid w:val="00A06D67"/>
    <w:rsid w:val="00A241AB"/>
    <w:rsid w:val="00A25AC8"/>
    <w:rsid w:val="00A26714"/>
    <w:rsid w:val="00A31D9C"/>
    <w:rsid w:val="00A46C7A"/>
    <w:rsid w:val="00A62F83"/>
    <w:rsid w:val="00A63A4C"/>
    <w:rsid w:val="00A65565"/>
    <w:rsid w:val="00A968FC"/>
    <w:rsid w:val="00A97346"/>
    <w:rsid w:val="00AA4D11"/>
    <w:rsid w:val="00AC40A7"/>
    <w:rsid w:val="00AC4F44"/>
    <w:rsid w:val="00AD341E"/>
    <w:rsid w:val="00AE1286"/>
    <w:rsid w:val="00AE1CAF"/>
    <w:rsid w:val="00AE2E25"/>
    <w:rsid w:val="00AE5503"/>
    <w:rsid w:val="00AE5B94"/>
    <w:rsid w:val="00AF12E0"/>
    <w:rsid w:val="00B00C91"/>
    <w:rsid w:val="00B1099E"/>
    <w:rsid w:val="00B130EC"/>
    <w:rsid w:val="00B22175"/>
    <w:rsid w:val="00B344C4"/>
    <w:rsid w:val="00B365B0"/>
    <w:rsid w:val="00B45006"/>
    <w:rsid w:val="00B53AC5"/>
    <w:rsid w:val="00B572BB"/>
    <w:rsid w:val="00B6380A"/>
    <w:rsid w:val="00B729C7"/>
    <w:rsid w:val="00B77B00"/>
    <w:rsid w:val="00B871D1"/>
    <w:rsid w:val="00B90C5F"/>
    <w:rsid w:val="00B94EAF"/>
    <w:rsid w:val="00BB22F2"/>
    <w:rsid w:val="00BC1307"/>
    <w:rsid w:val="00BC1BE3"/>
    <w:rsid w:val="00BC1C03"/>
    <w:rsid w:val="00BC47AE"/>
    <w:rsid w:val="00BC57B6"/>
    <w:rsid w:val="00BD2FF7"/>
    <w:rsid w:val="00BD450E"/>
    <w:rsid w:val="00BE38E1"/>
    <w:rsid w:val="00BF03A0"/>
    <w:rsid w:val="00C12563"/>
    <w:rsid w:val="00C16736"/>
    <w:rsid w:val="00C25F0D"/>
    <w:rsid w:val="00C37CAD"/>
    <w:rsid w:val="00C44E10"/>
    <w:rsid w:val="00C54684"/>
    <w:rsid w:val="00C55687"/>
    <w:rsid w:val="00C61FB6"/>
    <w:rsid w:val="00C62646"/>
    <w:rsid w:val="00C62723"/>
    <w:rsid w:val="00C65A4C"/>
    <w:rsid w:val="00C70829"/>
    <w:rsid w:val="00C730DF"/>
    <w:rsid w:val="00CB0F12"/>
    <w:rsid w:val="00CB10AB"/>
    <w:rsid w:val="00CB61BE"/>
    <w:rsid w:val="00CB7BF6"/>
    <w:rsid w:val="00CD0F33"/>
    <w:rsid w:val="00CE6A82"/>
    <w:rsid w:val="00CF5952"/>
    <w:rsid w:val="00CF6CE1"/>
    <w:rsid w:val="00D004AD"/>
    <w:rsid w:val="00D0082C"/>
    <w:rsid w:val="00D05627"/>
    <w:rsid w:val="00D23E62"/>
    <w:rsid w:val="00D23FDD"/>
    <w:rsid w:val="00D334CD"/>
    <w:rsid w:val="00D3393D"/>
    <w:rsid w:val="00D3422E"/>
    <w:rsid w:val="00D4021C"/>
    <w:rsid w:val="00D444AF"/>
    <w:rsid w:val="00D46480"/>
    <w:rsid w:val="00D46956"/>
    <w:rsid w:val="00D60FC9"/>
    <w:rsid w:val="00D80D70"/>
    <w:rsid w:val="00D81616"/>
    <w:rsid w:val="00DA033F"/>
    <w:rsid w:val="00DB0B02"/>
    <w:rsid w:val="00DB59B4"/>
    <w:rsid w:val="00DC0999"/>
    <w:rsid w:val="00DD4CC7"/>
    <w:rsid w:val="00DD4DB6"/>
    <w:rsid w:val="00DE182A"/>
    <w:rsid w:val="00DF1D54"/>
    <w:rsid w:val="00E00100"/>
    <w:rsid w:val="00E01D63"/>
    <w:rsid w:val="00E03D6B"/>
    <w:rsid w:val="00E37B9E"/>
    <w:rsid w:val="00E456AE"/>
    <w:rsid w:val="00E62D76"/>
    <w:rsid w:val="00E65510"/>
    <w:rsid w:val="00E7537C"/>
    <w:rsid w:val="00E94A7B"/>
    <w:rsid w:val="00EB0F90"/>
    <w:rsid w:val="00EC26A3"/>
    <w:rsid w:val="00ED07F9"/>
    <w:rsid w:val="00EE24DA"/>
    <w:rsid w:val="00EE44F0"/>
    <w:rsid w:val="00EE55F3"/>
    <w:rsid w:val="00EF357C"/>
    <w:rsid w:val="00EF5F28"/>
    <w:rsid w:val="00F063F2"/>
    <w:rsid w:val="00F204D0"/>
    <w:rsid w:val="00F43082"/>
    <w:rsid w:val="00F44A66"/>
    <w:rsid w:val="00F4593B"/>
    <w:rsid w:val="00F52E29"/>
    <w:rsid w:val="00F5320B"/>
    <w:rsid w:val="00F57BF0"/>
    <w:rsid w:val="00F6614A"/>
    <w:rsid w:val="00F66C1D"/>
    <w:rsid w:val="00F70CD3"/>
    <w:rsid w:val="00F73C33"/>
    <w:rsid w:val="00F74BC9"/>
    <w:rsid w:val="00F76784"/>
    <w:rsid w:val="00F800B6"/>
    <w:rsid w:val="00F851BF"/>
    <w:rsid w:val="00F853ED"/>
    <w:rsid w:val="00FB18C3"/>
    <w:rsid w:val="00FB4146"/>
    <w:rsid w:val="00FC2885"/>
    <w:rsid w:val="00FD02E0"/>
    <w:rsid w:val="00FD442E"/>
    <w:rsid w:val="00FE190B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95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Balk2">
    <w:name w:val="heading 2"/>
    <w:basedOn w:val="Normal"/>
    <w:next w:val="Normal"/>
    <w:qFormat/>
    <w:rsid w:val="009B03FF"/>
    <w:pPr>
      <w:keepNext/>
      <w:overflowPunct/>
      <w:autoSpaceDE/>
      <w:autoSpaceDN/>
      <w:adjustRightInd/>
      <w:textAlignment w:val="auto"/>
      <w:outlineLvl w:val="1"/>
    </w:pPr>
    <w:rPr>
      <w:spacing w:val="0"/>
      <w:kern w:val="0"/>
      <w:position w:val="0"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F59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F59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5952"/>
  </w:style>
  <w:style w:type="table" w:styleId="TabloKlavuzu">
    <w:name w:val="Table Grid"/>
    <w:basedOn w:val="NormalTablo"/>
    <w:rsid w:val="00CF59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CE6A82"/>
    <w:pPr>
      <w:overflowPunct/>
      <w:autoSpaceDE/>
      <w:autoSpaceDN/>
      <w:adjustRightInd/>
      <w:jc w:val="both"/>
      <w:textAlignment w:val="auto"/>
    </w:pPr>
    <w:rPr>
      <w:rFonts w:cs="Arial"/>
      <w:spacing w:val="0"/>
      <w:kern w:val="0"/>
      <w:position w:val="0"/>
      <w:lang w:val="tr-TR"/>
    </w:rPr>
  </w:style>
  <w:style w:type="paragraph" w:styleId="GvdeMetni2">
    <w:name w:val="Body Text 2"/>
    <w:basedOn w:val="Normal"/>
    <w:rsid w:val="00CE6A82"/>
    <w:pPr>
      <w:spacing w:after="120" w:line="480" w:lineRule="auto"/>
    </w:pPr>
  </w:style>
  <w:style w:type="paragraph" w:styleId="GvdeMetni">
    <w:name w:val="Body Text"/>
    <w:basedOn w:val="Normal"/>
    <w:rsid w:val="00CE6A82"/>
    <w:pPr>
      <w:spacing w:after="120"/>
    </w:pPr>
  </w:style>
  <w:style w:type="paragraph" w:styleId="GvdeMetniGirintisi3">
    <w:name w:val="Body Text Indent 3"/>
    <w:basedOn w:val="Normal"/>
    <w:rsid w:val="00F73C33"/>
    <w:pPr>
      <w:spacing w:after="120"/>
      <w:ind w:left="283"/>
    </w:pPr>
    <w:rPr>
      <w:sz w:val="16"/>
      <w:szCs w:val="16"/>
    </w:rPr>
  </w:style>
  <w:style w:type="paragraph" w:styleId="GvdeMetniGirintisi">
    <w:name w:val="Body Text Indent"/>
    <w:basedOn w:val="Normal"/>
    <w:rsid w:val="004C0FB3"/>
    <w:pPr>
      <w:spacing w:after="120"/>
      <w:ind w:left="283"/>
    </w:pPr>
  </w:style>
  <w:style w:type="paragraph" w:styleId="GvdeMetniGirintisi2">
    <w:name w:val="Body Text Indent 2"/>
    <w:basedOn w:val="Normal"/>
    <w:link w:val="GvdeMetniGirintisi2Char"/>
    <w:rsid w:val="004F77E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F77E0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character" w:customStyle="1" w:styleId="AltbilgiChar">
    <w:name w:val="Altbilgi Char"/>
    <w:basedOn w:val="VarsaylanParagrafYazTipi"/>
    <w:link w:val="Altbilgi"/>
    <w:uiPriority w:val="99"/>
    <w:rsid w:val="00CB10AB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BalonMetni">
    <w:name w:val="Balloon Text"/>
    <w:basedOn w:val="Normal"/>
    <w:link w:val="BalonMetniChar"/>
    <w:rsid w:val="006554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5549C"/>
    <w:rPr>
      <w:rFonts w:ascii="Tahoma" w:eastAsia="Times New Roman" w:hAnsi="Tahoma" w:cs="Tahoma"/>
      <w:spacing w:val="20"/>
      <w:kern w:val="32"/>
      <w:position w:val="2"/>
      <w:sz w:val="16"/>
      <w:szCs w:val="16"/>
      <w:lang w:val="en-GB"/>
    </w:rPr>
  </w:style>
  <w:style w:type="character" w:customStyle="1" w:styleId="hps">
    <w:name w:val="hps"/>
    <w:basedOn w:val="VarsaylanParagrafYazTipi"/>
    <w:rsid w:val="00012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54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808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951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86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1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947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0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24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5E4B22-D1F1-4944-B777-04B785D95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65C3-F5D0-400D-A22E-BF8B86E7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1668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TIBBİ ÜRÜNÜN ADI</vt:lpstr>
    </vt:vector>
  </TitlesOfParts>
  <Company>Deva Holding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TIBBİ ÜRÜNÜN ADI</dc:title>
  <dc:subject/>
  <dc:creator>yecoskun</dc:creator>
  <cp:keywords/>
  <dc:description/>
  <cp:lastModifiedBy>lyallak</cp:lastModifiedBy>
  <cp:revision>12</cp:revision>
  <cp:lastPrinted>2014-07-09T11:05:00Z</cp:lastPrinted>
  <dcterms:created xsi:type="dcterms:W3CDTF">2012-01-20T07:00:00Z</dcterms:created>
  <dcterms:modified xsi:type="dcterms:W3CDTF">2014-08-26T08:59:00Z</dcterms:modified>
</cp:coreProperties>
</file>