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9A" w:rsidRPr="00A763C5" w:rsidRDefault="00566D9A" w:rsidP="00250803">
      <w:pPr>
        <w:spacing w:line="276" w:lineRule="auto"/>
        <w:jc w:val="center"/>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KISA ÜRÜN BİLGİSİ</w:t>
      </w:r>
    </w:p>
    <w:p w:rsidR="009F2254" w:rsidRPr="00A763C5" w:rsidRDefault="009F2254" w:rsidP="00250803">
      <w:pPr>
        <w:spacing w:line="276" w:lineRule="auto"/>
        <w:jc w:val="both"/>
        <w:rPr>
          <w:rFonts w:ascii="Times New Roman" w:hAnsi="Times New Roman"/>
          <w:b/>
          <w:spacing w:val="0"/>
          <w:position w:val="0"/>
          <w:sz w:val="24"/>
          <w:szCs w:val="24"/>
          <w:lang w:val="tr-TR"/>
        </w:rPr>
      </w:pPr>
    </w:p>
    <w:p w:rsidR="00073968" w:rsidRPr="00A763C5" w:rsidRDefault="00073968"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spacing w:val="0"/>
          <w:position w:val="0"/>
          <w:sz w:val="24"/>
          <w:szCs w:val="24"/>
          <w:lang w:val="tr-TR"/>
        </w:rPr>
        <w:t>1</w:t>
      </w:r>
      <w:r w:rsidR="00843204"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w:t>
      </w:r>
      <w:r w:rsidR="00FF5152" w:rsidRPr="00A763C5">
        <w:rPr>
          <w:rFonts w:ascii="Times New Roman" w:hAnsi="Times New Roman"/>
          <w:b/>
          <w:spacing w:val="0"/>
          <w:position w:val="0"/>
          <w:sz w:val="24"/>
          <w:szCs w:val="24"/>
          <w:lang w:val="tr-TR"/>
        </w:rPr>
        <w:t xml:space="preserve">BEŞERİ </w:t>
      </w:r>
      <w:r w:rsidRPr="00A763C5">
        <w:rPr>
          <w:rFonts w:ascii="Times New Roman" w:hAnsi="Times New Roman"/>
          <w:b/>
          <w:spacing w:val="0"/>
          <w:position w:val="0"/>
          <w:sz w:val="24"/>
          <w:szCs w:val="24"/>
          <w:lang w:val="tr-TR"/>
        </w:rPr>
        <w:t>TIBBİ ÜRÜNÜN ADI</w:t>
      </w:r>
    </w:p>
    <w:p w:rsidR="002B2A0D" w:rsidRPr="00A763C5" w:rsidRDefault="002B2A0D"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PİROFEN 150 </w:t>
      </w:r>
      <w:r w:rsidR="00A00081" w:rsidRPr="00A763C5">
        <w:rPr>
          <w:rFonts w:ascii="Times New Roman" w:hAnsi="Times New Roman"/>
          <w:spacing w:val="0"/>
          <w:position w:val="0"/>
          <w:sz w:val="24"/>
          <w:szCs w:val="24"/>
          <w:lang w:val="tr-TR"/>
        </w:rPr>
        <w:t>mg</w:t>
      </w:r>
      <w:r w:rsidRPr="00A763C5">
        <w:rPr>
          <w:rFonts w:ascii="Times New Roman" w:hAnsi="Times New Roman"/>
          <w:spacing w:val="0"/>
          <w:position w:val="0"/>
          <w:sz w:val="24"/>
          <w:szCs w:val="24"/>
          <w:lang w:val="tr-TR"/>
        </w:rPr>
        <w:t xml:space="preserve">/5 </w:t>
      </w:r>
      <w:r w:rsidR="00A00081" w:rsidRPr="00A763C5">
        <w:rPr>
          <w:rFonts w:ascii="Times New Roman" w:hAnsi="Times New Roman"/>
          <w:spacing w:val="0"/>
          <w:position w:val="0"/>
          <w:sz w:val="24"/>
          <w:szCs w:val="24"/>
          <w:lang w:val="tr-TR"/>
        </w:rPr>
        <w:t>ml</w:t>
      </w:r>
      <w:r w:rsidRPr="00A763C5">
        <w:rPr>
          <w:rFonts w:ascii="Times New Roman" w:hAnsi="Times New Roman"/>
          <w:spacing w:val="0"/>
          <w:position w:val="0"/>
          <w:sz w:val="24"/>
          <w:szCs w:val="24"/>
          <w:lang w:val="tr-TR"/>
        </w:rPr>
        <w:t xml:space="preserve"> </w:t>
      </w:r>
      <w:r w:rsidR="00DB3AA5" w:rsidRPr="00A763C5">
        <w:rPr>
          <w:rFonts w:ascii="Times New Roman" w:hAnsi="Times New Roman"/>
          <w:spacing w:val="0"/>
          <w:position w:val="0"/>
          <w:sz w:val="24"/>
          <w:szCs w:val="24"/>
          <w:lang w:val="tr-TR"/>
        </w:rPr>
        <w:t>pediatrik şurup</w:t>
      </w:r>
      <w:r w:rsidRPr="00A763C5">
        <w:rPr>
          <w:rFonts w:ascii="Times New Roman" w:hAnsi="Times New Roman"/>
          <w:spacing w:val="0"/>
          <w:position w:val="0"/>
          <w:sz w:val="24"/>
          <w:szCs w:val="24"/>
          <w:lang w:val="tr-TR"/>
        </w:rPr>
        <w:t xml:space="preserve"> </w:t>
      </w:r>
    </w:p>
    <w:p w:rsidR="003A2CC1" w:rsidRPr="00A763C5" w:rsidRDefault="003A2CC1" w:rsidP="00250803">
      <w:pPr>
        <w:spacing w:line="276" w:lineRule="auto"/>
        <w:jc w:val="both"/>
        <w:rPr>
          <w:rFonts w:ascii="Times New Roman" w:hAnsi="Times New Roman"/>
          <w:b/>
          <w:spacing w:val="0"/>
          <w:position w:val="0"/>
          <w:sz w:val="24"/>
          <w:szCs w:val="24"/>
          <w:lang w:val="tr-TR"/>
        </w:rPr>
      </w:pPr>
    </w:p>
    <w:p w:rsidR="00956053"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2</w:t>
      </w:r>
      <w:r w:rsidR="00843204"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w:t>
      </w:r>
      <w:r w:rsidR="009B4688" w:rsidRPr="00A763C5">
        <w:rPr>
          <w:rFonts w:ascii="Times New Roman" w:hAnsi="Times New Roman"/>
          <w:b/>
          <w:spacing w:val="0"/>
          <w:position w:val="0"/>
          <w:sz w:val="24"/>
          <w:szCs w:val="24"/>
          <w:lang w:val="tr-TR"/>
        </w:rPr>
        <w:t>KALİTATİF VE KANTİTATİF BİLEŞİM</w:t>
      </w:r>
    </w:p>
    <w:p w:rsidR="007260F7" w:rsidRPr="00A763C5" w:rsidRDefault="00DB3AA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Bir ölçekte (=5ml)</w:t>
      </w:r>
      <w:r w:rsidR="00FE17C2" w:rsidRPr="00A763C5">
        <w:rPr>
          <w:rFonts w:ascii="Times New Roman" w:hAnsi="Times New Roman"/>
          <w:spacing w:val="0"/>
          <w:position w:val="0"/>
          <w:sz w:val="24"/>
          <w:szCs w:val="24"/>
          <w:lang w:val="tr-TR"/>
        </w:rPr>
        <w:t>;</w:t>
      </w:r>
    </w:p>
    <w:p w:rsidR="00DB3AA5" w:rsidRPr="00A763C5" w:rsidRDefault="00DB3AA5"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Etkin madde:</w:t>
      </w:r>
    </w:p>
    <w:p w:rsidR="00DB3AA5" w:rsidRPr="00A763C5" w:rsidRDefault="00DB3AA5" w:rsidP="00250803">
      <w:pPr>
        <w:tabs>
          <w:tab w:val="right" w:pos="3119"/>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Parasetamol</w:t>
      </w:r>
      <w:r w:rsidRPr="00A763C5">
        <w:rPr>
          <w:rFonts w:ascii="Times New Roman" w:hAnsi="Times New Roman"/>
          <w:spacing w:val="0"/>
          <w:position w:val="0"/>
          <w:sz w:val="24"/>
          <w:szCs w:val="24"/>
          <w:u w:val="dotted"/>
          <w:lang w:val="tr-TR"/>
        </w:rPr>
        <w:tab/>
      </w:r>
      <w:r w:rsidRPr="00A763C5">
        <w:rPr>
          <w:rFonts w:ascii="Times New Roman" w:hAnsi="Times New Roman"/>
          <w:spacing w:val="0"/>
          <w:position w:val="0"/>
          <w:sz w:val="24"/>
          <w:szCs w:val="24"/>
          <w:lang w:val="tr-TR"/>
        </w:rPr>
        <w:t>150 mg</w:t>
      </w:r>
    </w:p>
    <w:p w:rsidR="00DB3AA5" w:rsidRPr="00A763C5" w:rsidRDefault="00DB3AA5"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Yardımcı maddeler:</w:t>
      </w:r>
    </w:p>
    <w:p w:rsidR="006E28A0" w:rsidRPr="00A763C5" w:rsidRDefault="00843204" w:rsidP="00250803">
      <w:pPr>
        <w:tabs>
          <w:tab w:val="right" w:pos="3119"/>
        </w:tabs>
        <w:spacing w:line="276" w:lineRule="auto"/>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Sodyum </w:t>
      </w:r>
      <w:proofErr w:type="spellStart"/>
      <w:r w:rsidR="00845220" w:rsidRPr="00A763C5">
        <w:rPr>
          <w:rFonts w:ascii="Times New Roman" w:hAnsi="Times New Roman"/>
          <w:spacing w:val="0"/>
          <w:position w:val="0"/>
          <w:sz w:val="24"/>
          <w:szCs w:val="24"/>
          <w:lang w:val="tr-TR"/>
        </w:rPr>
        <w:t>sakkarin</w:t>
      </w:r>
      <w:proofErr w:type="spellEnd"/>
      <w:r w:rsidRPr="00A763C5">
        <w:rPr>
          <w:rFonts w:ascii="Times New Roman" w:hAnsi="Times New Roman"/>
          <w:spacing w:val="0"/>
          <w:position w:val="0"/>
          <w:sz w:val="24"/>
          <w:szCs w:val="24"/>
          <w:u w:val="dotted"/>
          <w:lang w:val="tr-TR"/>
        </w:rPr>
        <w:tab/>
      </w:r>
      <w:r w:rsidR="0030697A" w:rsidRPr="00A763C5">
        <w:rPr>
          <w:rFonts w:ascii="Times New Roman" w:hAnsi="Times New Roman"/>
          <w:spacing w:val="0"/>
          <w:position w:val="0"/>
          <w:sz w:val="24"/>
          <w:szCs w:val="24"/>
          <w:lang w:val="tr-TR"/>
        </w:rPr>
        <w:t>7.5</w:t>
      </w:r>
      <w:r w:rsidRPr="00A763C5">
        <w:rPr>
          <w:rFonts w:ascii="Times New Roman" w:hAnsi="Times New Roman"/>
          <w:spacing w:val="0"/>
          <w:position w:val="0"/>
          <w:sz w:val="24"/>
          <w:szCs w:val="24"/>
          <w:lang w:val="tr-TR"/>
        </w:rPr>
        <w:t xml:space="preserve"> mg</w:t>
      </w:r>
    </w:p>
    <w:p w:rsidR="0030697A" w:rsidRPr="00A763C5" w:rsidRDefault="0030697A" w:rsidP="00250803">
      <w:pPr>
        <w:tabs>
          <w:tab w:val="right" w:pos="3119"/>
        </w:tabs>
        <w:spacing w:line="276" w:lineRule="auto"/>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Etil alkol (%96)</w:t>
      </w:r>
      <w:r w:rsidRPr="00A763C5">
        <w:rPr>
          <w:rFonts w:ascii="Times New Roman" w:hAnsi="Times New Roman"/>
          <w:spacing w:val="0"/>
          <w:position w:val="0"/>
          <w:sz w:val="24"/>
          <w:szCs w:val="24"/>
          <w:u w:val="dotted"/>
          <w:lang w:val="tr-TR"/>
        </w:rPr>
        <w:tab/>
      </w:r>
      <w:r w:rsidRPr="00A763C5">
        <w:rPr>
          <w:rFonts w:ascii="Times New Roman" w:hAnsi="Times New Roman"/>
          <w:spacing w:val="0"/>
          <w:position w:val="0"/>
          <w:sz w:val="24"/>
          <w:szCs w:val="24"/>
          <w:lang w:val="tr-TR"/>
        </w:rPr>
        <w:t>25 mg</w:t>
      </w:r>
    </w:p>
    <w:p w:rsidR="00843204" w:rsidRPr="00A763C5" w:rsidRDefault="00843204" w:rsidP="00250803">
      <w:pPr>
        <w:tabs>
          <w:tab w:val="right" w:pos="3119"/>
        </w:tabs>
        <w:spacing w:line="276" w:lineRule="auto"/>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Kristal şeker</w:t>
      </w:r>
      <w:r w:rsidRPr="00A763C5">
        <w:rPr>
          <w:rFonts w:ascii="Times New Roman" w:hAnsi="Times New Roman"/>
          <w:spacing w:val="0"/>
          <w:position w:val="0"/>
          <w:sz w:val="24"/>
          <w:szCs w:val="24"/>
          <w:u w:val="dotted"/>
          <w:lang w:val="tr-TR"/>
        </w:rPr>
        <w:tab/>
      </w:r>
      <w:r w:rsidR="0030697A" w:rsidRPr="00A763C5">
        <w:rPr>
          <w:rFonts w:ascii="Times New Roman" w:hAnsi="Times New Roman"/>
          <w:spacing w:val="0"/>
          <w:position w:val="0"/>
          <w:sz w:val="24"/>
          <w:szCs w:val="24"/>
          <w:lang w:val="tr-TR"/>
        </w:rPr>
        <w:t>1000</w:t>
      </w:r>
      <w:r w:rsidRPr="00A763C5">
        <w:rPr>
          <w:rFonts w:ascii="Times New Roman" w:hAnsi="Times New Roman"/>
          <w:spacing w:val="0"/>
          <w:position w:val="0"/>
          <w:sz w:val="24"/>
          <w:szCs w:val="24"/>
          <w:lang w:val="tr-TR"/>
        </w:rPr>
        <w:t xml:space="preserve"> </w:t>
      </w:r>
      <w:r w:rsidR="0030697A" w:rsidRPr="00A763C5">
        <w:rPr>
          <w:rFonts w:ascii="Times New Roman" w:hAnsi="Times New Roman"/>
          <w:spacing w:val="0"/>
          <w:position w:val="0"/>
          <w:sz w:val="24"/>
          <w:szCs w:val="24"/>
          <w:lang w:val="tr-TR"/>
        </w:rPr>
        <w:t>m</w:t>
      </w:r>
      <w:r w:rsidRPr="00A763C5">
        <w:rPr>
          <w:rFonts w:ascii="Times New Roman" w:hAnsi="Times New Roman"/>
          <w:spacing w:val="0"/>
          <w:position w:val="0"/>
          <w:sz w:val="24"/>
          <w:szCs w:val="24"/>
          <w:lang w:val="tr-TR"/>
        </w:rPr>
        <w:t>g</w:t>
      </w:r>
    </w:p>
    <w:p w:rsidR="003A2CC1" w:rsidRPr="00A763C5" w:rsidRDefault="003A2CC1" w:rsidP="00250803">
      <w:pPr>
        <w:spacing w:line="276" w:lineRule="auto"/>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Yardımcı maddeler</w:t>
      </w:r>
      <w:r w:rsidR="00FE17C2" w:rsidRPr="00A763C5">
        <w:rPr>
          <w:rFonts w:ascii="Times New Roman" w:hAnsi="Times New Roman"/>
          <w:spacing w:val="0"/>
          <w:position w:val="0"/>
          <w:sz w:val="24"/>
          <w:szCs w:val="24"/>
          <w:lang w:val="tr-TR"/>
        </w:rPr>
        <w:t>in tam listesi</w:t>
      </w:r>
      <w:r w:rsidRPr="00A763C5">
        <w:rPr>
          <w:rFonts w:ascii="Times New Roman" w:hAnsi="Times New Roman"/>
          <w:spacing w:val="0"/>
          <w:position w:val="0"/>
          <w:sz w:val="24"/>
          <w:szCs w:val="24"/>
          <w:lang w:val="tr-TR"/>
        </w:rPr>
        <w:t xml:space="preserve"> için 6.1</w:t>
      </w:r>
      <w:r w:rsidR="00672172" w:rsidRPr="00A763C5">
        <w:rPr>
          <w:rFonts w:ascii="Times New Roman" w:hAnsi="Times New Roman"/>
          <w:spacing w:val="0"/>
          <w:position w:val="0"/>
          <w:sz w:val="24"/>
          <w:szCs w:val="24"/>
          <w:lang w:val="tr-TR"/>
        </w:rPr>
        <w:t>’</w:t>
      </w:r>
      <w:r w:rsidR="00FE17C2" w:rsidRPr="00A763C5">
        <w:rPr>
          <w:rFonts w:ascii="Times New Roman" w:hAnsi="Times New Roman"/>
          <w:spacing w:val="0"/>
          <w:position w:val="0"/>
          <w:sz w:val="24"/>
          <w:szCs w:val="24"/>
          <w:lang w:val="tr-TR"/>
        </w:rPr>
        <w:t>e bakınız.</w:t>
      </w:r>
    </w:p>
    <w:p w:rsidR="001D0E38" w:rsidRPr="00A763C5" w:rsidRDefault="001D0E38" w:rsidP="00250803">
      <w:pPr>
        <w:spacing w:line="276" w:lineRule="auto"/>
        <w:jc w:val="both"/>
        <w:rPr>
          <w:rFonts w:ascii="Times New Roman" w:hAnsi="Times New Roman"/>
          <w:b/>
          <w:spacing w:val="0"/>
          <w:position w:val="0"/>
          <w:sz w:val="24"/>
          <w:szCs w:val="24"/>
          <w:lang w:val="tr-TR"/>
        </w:rPr>
      </w:pPr>
    </w:p>
    <w:p w:rsidR="000C4469" w:rsidRPr="00A763C5" w:rsidRDefault="001D0E3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3</w:t>
      </w:r>
      <w:r w:rsidR="00843204"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w:t>
      </w:r>
      <w:r w:rsidR="00FF5152" w:rsidRPr="00A763C5">
        <w:rPr>
          <w:rFonts w:ascii="Times New Roman" w:hAnsi="Times New Roman"/>
          <w:b/>
          <w:spacing w:val="0"/>
          <w:position w:val="0"/>
          <w:sz w:val="24"/>
          <w:szCs w:val="24"/>
          <w:lang w:val="tr-TR"/>
        </w:rPr>
        <w:t>FARMASÖTİK FORM</w:t>
      </w:r>
    </w:p>
    <w:p w:rsidR="003A2CC1" w:rsidRPr="00A763C5" w:rsidRDefault="00672172" w:rsidP="00250803">
      <w:pPr>
        <w:tabs>
          <w:tab w:val="left" w:pos="284"/>
          <w:tab w:val="left" w:pos="426"/>
        </w:tabs>
        <w:spacing w:line="276" w:lineRule="auto"/>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Şurup.</w:t>
      </w:r>
    </w:p>
    <w:p w:rsidR="007260F7" w:rsidRPr="00A763C5" w:rsidRDefault="007260F7"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Pembe renkte,</w:t>
      </w:r>
      <w:r w:rsidR="00DF37C3"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karakteristik kokulu (frambuaz) berrak solüsyon.</w:t>
      </w:r>
    </w:p>
    <w:p w:rsidR="00956053" w:rsidRPr="00A763C5" w:rsidRDefault="00956053" w:rsidP="00250803">
      <w:pPr>
        <w:spacing w:line="276" w:lineRule="auto"/>
        <w:jc w:val="both"/>
        <w:rPr>
          <w:rFonts w:ascii="Times New Roman" w:hAnsi="Times New Roman"/>
          <w:spacing w:val="0"/>
          <w:position w:val="0"/>
          <w:sz w:val="24"/>
          <w:szCs w:val="24"/>
          <w:lang w:val="tr-TR"/>
        </w:rPr>
      </w:pPr>
    </w:p>
    <w:p w:rsidR="00073968"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4</w:t>
      </w:r>
      <w:r w:rsidR="00843204"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KLİNİK ÖZELLİKLER</w:t>
      </w:r>
    </w:p>
    <w:p w:rsidR="00073968"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4.1</w:t>
      </w:r>
      <w:r w:rsidR="001C3E39"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T</w:t>
      </w:r>
      <w:r w:rsidR="00FF5152" w:rsidRPr="00A763C5">
        <w:rPr>
          <w:rFonts w:ascii="Times New Roman" w:hAnsi="Times New Roman"/>
          <w:b/>
          <w:spacing w:val="0"/>
          <w:position w:val="0"/>
          <w:sz w:val="24"/>
          <w:szCs w:val="24"/>
          <w:lang w:val="tr-TR"/>
        </w:rPr>
        <w:t xml:space="preserve">erapötik </w:t>
      </w:r>
      <w:r w:rsidR="00843204" w:rsidRPr="00A763C5">
        <w:rPr>
          <w:rFonts w:ascii="Times New Roman" w:hAnsi="Times New Roman"/>
          <w:b/>
          <w:spacing w:val="0"/>
          <w:position w:val="0"/>
          <w:sz w:val="24"/>
          <w:szCs w:val="24"/>
          <w:lang w:val="tr-TR"/>
        </w:rPr>
        <w:t>e</w:t>
      </w:r>
      <w:r w:rsidR="00FF5152" w:rsidRPr="00A763C5">
        <w:rPr>
          <w:rFonts w:ascii="Times New Roman" w:hAnsi="Times New Roman"/>
          <w:b/>
          <w:spacing w:val="0"/>
          <w:position w:val="0"/>
          <w:sz w:val="24"/>
          <w:szCs w:val="24"/>
          <w:lang w:val="tr-TR"/>
        </w:rPr>
        <w:t>ndikasyonlar</w:t>
      </w:r>
    </w:p>
    <w:p w:rsidR="003A2CC1" w:rsidRPr="00A763C5" w:rsidRDefault="00843204"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Çocuklarda h</w:t>
      </w:r>
      <w:r w:rsidR="007260F7" w:rsidRPr="00A763C5">
        <w:rPr>
          <w:rFonts w:ascii="Times New Roman" w:hAnsi="Times New Roman"/>
          <w:spacing w:val="0"/>
          <w:position w:val="0"/>
          <w:sz w:val="24"/>
          <w:szCs w:val="24"/>
          <w:lang w:val="tr-TR"/>
        </w:rPr>
        <w:t xml:space="preserve">afif ve orta </w:t>
      </w:r>
      <w:r w:rsidRPr="00A763C5">
        <w:rPr>
          <w:rFonts w:ascii="Times New Roman" w:hAnsi="Times New Roman"/>
          <w:spacing w:val="0"/>
          <w:position w:val="0"/>
          <w:sz w:val="24"/>
          <w:szCs w:val="24"/>
          <w:lang w:val="tr-TR"/>
        </w:rPr>
        <w:t>şiddetli</w:t>
      </w:r>
      <w:r w:rsidR="007260F7" w:rsidRPr="00A763C5">
        <w:rPr>
          <w:rFonts w:ascii="Times New Roman" w:hAnsi="Times New Roman"/>
          <w:spacing w:val="0"/>
          <w:position w:val="0"/>
          <w:sz w:val="24"/>
          <w:szCs w:val="24"/>
          <w:lang w:val="tr-TR"/>
        </w:rPr>
        <w:t xml:space="preserve"> ağrı ve ateşin semptomatik tedavisinde endikedir.</w:t>
      </w:r>
    </w:p>
    <w:p w:rsidR="007260F7" w:rsidRPr="00A763C5" w:rsidRDefault="007260F7" w:rsidP="00250803">
      <w:pPr>
        <w:tabs>
          <w:tab w:val="left" w:pos="1200"/>
        </w:tabs>
        <w:spacing w:line="276" w:lineRule="auto"/>
        <w:jc w:val="both"/>
        <w:rPr>
          <w:rFonts w:ascii="Times New Roman" w:hAnsi="Times New Roman"/>
          <w:b/>
          <w:spacing w:val="0"/>
          <w:position w:val="0"/>
          <w:sz w:val="24"/>
          <w:szCs w:val="24"/>
          <w:lang w:val="tr-TR"/>
        </w:rPr>
      </w:pPr>
    </w:p>
    <w:p w:rsidR="00073968" w:rsidRPr="00A763C5" w:rsidRDefault="00FF5152" w:rsidP="00250803">
      <w:pPr>
        <w:tabs>
          <w:tab w:val="left" w:pos="1200"/>
        </w:tabs>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4.2</w:t>
      </w:r>
      <w:r w:rsidR="001C3E39"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Pozoloji ve </w:t>
      </w:r>
      <w:r w:rsidR="00843204" w:rsidRPr="00A763C5">
        <w:rPr>
          <w:rFonts w:ascii="Times New Roman" w:hAnsi="Times New Roman"/>
          <w:b/>
          <w:spacing w:val="0"/>
          <w:position w:val="0"/>
          <w:sz w:val="24"/>
          <w:szCs w:val="24"/>
          <w:lang w:val="tr-TR"/>
        </w:rPr>
        <w:t>u</w:t>
      </w:r>
      <w:r w:rsidRPr="00A763C5">
        <w:rPr>
          <w:rFonts w:ascii="Times New Roman" w:hAnsi="Times New Roman"/>
          <w:b/>
          <w:spacing w:val="0"/>
          <w:position w:val="0"/>
          <w:sz w:val="24"/>
          <w:szCs w:val="24"/>
          <w:lang w:val="tr-TR"/>
        </w:rPr>
        <w:t xml:space="preserve">ygulama </w:t>
      </w:r>
      <w:r w:rsidR="00843204" w:rsidRPr="00A763C5">
        <w:rPr>
          <w:rFonts w:ascii="Times New Roman" w:hAnsi="Times New Roman"/>
          <w:b/>
          <w:spacing w:val="0"/>
          <w:position w:val="0"/>
          <w:sz w:val="24"/>
          <w:szCs w:val="24"/>
          <w:lang w:val="tr-TR"/>
        </w:rPr>
        <w:t>ş</w:t>
      </w:r>
      <w:r w:rsidRPr="00A763C5">
        <w:rPr>
          <w:rFonts w:ascii="Times New Roman" w:hAnsi="Times New Roman"/>
          <w:b/>
          <w:spacing w:val="0"/>
          <w:position w:val="0"/>
          <w:sz w:val="24"/>
          <w:szCs w:val="24"/>
          <w:lang w:val="tr-TR"/>
        </w:rPr>
        <w:t>ekli</w:t>
      </w:r>
    </w:p>
    <w:p w:rsidR="00145B64" w:rsidRPr="00A763C5" w:rsidRDefault="00145B64" w:rsidP="00250803">
      <w:pPr>
        <w:pStyle w:val="GvdeMetni3"/>
        <w:overflowPunct w:val="0"/>
        <w:autoSpaceDE w:val="0"/>
        <w:autoSpaceDN w:val="0"/>
        <w:adjustRightInd w:val="0"/>
        <w:spacing w:line="276" w:lineRule="auto"/>
        <w:textAlignment w:val="baseline"/>
        <w:rPr>
          <w:rFonts w:ascii="Times New Roman" w:hAnsi="Times New Roman" w:cs="Times New Roman"/>
          <w:b/>
          <w:sz w:val="24"/>
          <w:szCs w:val="24"/>
        </w:rPr>
      </w:pPr>
      <w:r w:rsidRPr="00A763C5">
        <w:rPr>
          <w:rFonts w:ascii="Times New Roman" w:hAnsi="Times New Roman" w:cs="Times New Roman"/>
          <w:b/>
          <w:sz w:val="24"/>
          <w:szCs w:val="24"/>
        </w:rPr>
        <w:t>Pozoloji / uygulama sıklığı ve süresi:</w:t>
      </w:r>
    </w:p>
    <w:p w:rsidR="007260F7" w:rsidRPr="00A763C5" w:rsidRDefault="00367469"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r w:rsidRPr="00A763C5">
        <w:rPr>
          <w:rFonts w:ascii="Times New Roman" w:hAnsi="Times New Roman" w:cs="Times New Roman"/>
          <w:sz w:val="24"/>
          <w:szCs w:val="24"/>
        </w:rPr>
        <w:t>Doktor tarafından başka şekilde tavsiye edilmediği takdirde;</w:t>
      </w:r>
    </w:p>
    <w:tbl>
      <w:tblPr>
        <w:tblStyle w:val="TabloKlavuzu"/>
        <w:tblW w:w="0" w:type="auto"/>
        <w:tblInd w:w="108" w:type="dxa"/>
        <w:tblLook w:val="04A0"/>
      </w:tblPr>
      <w:tblGrid>
        <w:gridCol w:w="1701"/>
        <w:gridCol w:w="1843"/>
        <w:gridCol w:w="1843"/>
        <w:gridCol w:w="2551"/>
      </w:tblGrid>
      <w:tr w:rsidR="00367469" w:rsidRPr="00A763C5" w:rsidTr="00672172">
        <w:tc>
          <w:tcPr>
            <w:tcW w:w="170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b/>
                <w:sz w:val="24"/>
                <w:szCs w:val="24"/>
              </w:rPr>
            </w:pPr>
            <w:r w:rsidRPr="00A763C5">
              <w:rPr>
                <w:rFonts w:ascii="Times New Roman" w:hAnsi="Times New Roman" w:cs="Times New Roman"/>
                <w:b/>
                <w:sz w:val="24"/>
                <w:szCs w:val="24"/>
              </w:rPr>
              <w:t>Ay</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b/>
                <w:sz w:val="24"/>
                <w:szCs w:val="24"/>
              </w:rPr>
            </w:pPr>
            <w:r w:rsidRPr="00A763C5">
              <w:rPr>
                <w:rFonts w:ascii="Times New Roman" w:hAnsi="Times New Roman" w:cs="Times New Roman"/>
                <w:b/>
                <w:sz w:val="24"/>
                <w:szCs w:val="24"/>
              </w:rPr>
              <w:t>Doz (ml)</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b/>
                <w:sz w:val="24"/>
                <w:szCs w:val="24"/>
              </w:rPr>
            </w:pPr>
            <w:r w:rsidRPr="00A763C5">
              <w:rPr>
                <w:rFonts w:ascii="Times New Roman" w:hAnsi="Times New Roman" w:cs="Times New Roman"/>
                <w:b/>
                <w:sz w:val="24"/>
                <w:szCs w:val="24"/>
              </w:rPr>
              <w:t>Doz (Ölçek)</w:t>
            </w:r>
          </w:p>
        </w:tc>
        <w:tc>
          <w:tcPr>
            <w:tcW w:w="255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b/>
                <w:sz w:val="24"/>
                <w:szCs w:val="24"/>
              </w:rPr>
            </w:pPr>
            <w:r w:rsidRPr="00A763C5">
              <w:rPr>
                <w:rFonts w:ascii="Times New Roman" w:hAnsi="Times New Roman" w:cs="Times New Roman"/>
                <w:b/>
                <w:sz w:val="24"/>
                <w:szCs w:val="24"/>
              </w:rPr>
              <w:t>Kullanım</w:t>
            </w:r>
          </w:p>
        </w:tc>
      </w:tr>
      <w:tr w:rsidR="00367469" w:rsidRPr="00A763C5" w:rsidTr="00672172">
        <w:tc>
          <w:tcPr>
            <w:tcW w:w="170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6-24 ay</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2.5-3.75 ml</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½ - ¾ ölçek</w:t>
            </w:r>
          </w:p>
        </w:tc>
        <w:tc>
          <w:tcPr>
            <w:tcW w:w="255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6 saatte bir</w:t>
            </w:r>
          </w:p>
        </w:tc>
      </w:tr>
      <w:tr w:rsidR="00367469" w:rsidRPr="00A763C5" w:rsidTr="00672172">
        <w:tc>
          <w:tcPr>
            <w:tcW w:w="170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2-4 yaş</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5 ml</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1 ölçek</w:t>
            </w:r>
          </w:p>
        </w:tc>
        <w:tc>
          <w:tcPr>
            <w:tcW w:w="255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6 saatte bir</w:t>
            </w:r>
          </w:p>
        </w:tc>
      </w:tr>
      <w:tr w:rsidR="00367469" w:rsidRPr="00A763C5" w:rsidTr="00672172">
        <w:tc>
          <w:tcPr>
            <w:tcW w:w="170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4-8 yaş</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7.5 ml</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1½ ölçek</w:t>
            </w:r>
          </w:p>
        </w:tc>
        <w:tc>
          <w:tcPr>
            <w:tcW w:w="255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6 saatte bir</w:t>
            </w:r>
          </w:p>
        </w:tc>
      </w:tr>
      <w:tr w:rsidR="00367469" w:rsidRPr="00A763C5" w:rsidTr="00672172">
        <w:tc>
          <w:tcPr>
            <w:tcW w:w="170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8-10 yaş</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10 ml</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2 ölçek</w:t>
            </w:r>
          </w:p>
        </w:tc>
        <w:tc>
          <w:tcPr>
            <w:tcW w:w="255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6 saatte bir</w:t>
            </w:r>
          </w:p>
        </w:tc>
      </w:tr>
      <w:tr w:rsidR="00367469" w:rsidRPr="00A763C5" w:rsidTr="00672172">
        <w:tc>
          <w:tcPr>
            <w:tcW w:w="170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10-12 yaş</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13.75 ml</w:t>
            </w:r>
          </w:p>
        </w:tc>
        <w:tc>
          <w:tcPr>
            <w:tcW w:w="1843"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2½ ölçek</w:t>
            </w:r>
          </w:p>
        </w:tc>
        <w:tc>
          <w:tcPr>
            <w:tcW w:w="2551" w:type="dxa"/>
          </w:tcPr>
          <w:p w:rsidR="00367469" w:rsidRPr="00A763C5" w:rsidRDefault="00367469" w:rsidP="00250803">
            <w:pPr>
              <w:pStyle w:val="GvdeMetni3"/>
              <w:overflowPunct w:val="0"/>
              <w:autoSpaceDE w:val="0"/>
              <w:autoSpaceDN w:val="0"/>
              <w:adjustRightInd w:val="0"/>
              <w:spacing w:line="276" w:lineRule="auto"/>
              <w:jc w:val="center"/>
              <w:textAlignment w:val="baseline"/>
              <w:rPr>
                <w:rFonts w:ascii="Times New Roman" w:hAnsi="Times New Roman" w:cs="Times New Roman"/>
                <w:sz w:val="24"/>
                <w:szCs w:val="24"/>
              </w:rPr>
            </w:pPr>
            <w:r w:rsidRPr="00A763C5">
              <w:rPr>
                <w:rFonts w:ascii="Times New Roman" w:hAnsi="Times New Roman" w:cs="Times New Roman"/>
                <w:sz w:val="24"/>
                <w:szCs w:val="24"/>
              </w:rPr>
              <w:t>6 saatte bir</w:t>
            </w:r>
          </w:p>
        </w:tc>
      </w:tr>
    </w:tbl>
    <w:p w:rsidR="00367469" w:rsidRPr="00A763C5" w:rsidRDefault="00367469"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p>
    <w:p w:rsidR="00367469"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r w:rsidRPr="00A763C5">
        <w:rPr>
          <w:rFonts w:ascii="Times New Roman" w:hAnsi="Times New Roman" w:cs="Times New Roman"/>
          <w:sz w:val="24"/>
          <w:szCs w:val="24"/>
        </w:rPr>
        <w:t>Sistematik kullanım, çocukta ağrı ve ateş dalgalanmalarını (iniş-çıkış) önler.</w:t>
      </w: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r w:rsidRPr="00A763C5">
        <w:rPr>
          <w:rFonts w:ascii="Times New Roman" w:hAnsi="Times New Roman" w:cs="Times New Roman"/>
          <w:sz w:val="24"/>
          <w:szCs w:val="24"/>
        </w:rPr>
        <w:t>Alkol alan kişilerde hepatotoksisite riski nedeniyle, günlük alınan parasetamol dozunun 2 gramı aşmaması gerekir.</w:t>
      </w: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b/>
          <w:sz w:val="24"/>
          <w:szCs w:val="24"/>
        </w:rPr>
      </w:pPr>
      <w:r w:rsidRPr="00A763C5">
        <w:rPr>
          <w:rFonts w:ascii="Times New Roman" w:hAnsi="Times New Roman" w:cs="Times New Roman"/>
          <w:b/>
          <w:sz w:val="24"/>
          <w:szCs w:val="24"/>
        </w:rPr>
        <w:t>Uygulama şekli:</w:t>
      </w: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r w:rsidRPr="00A763C5">
        <w:rPr>
          <w:rFonts w:ascii="Times New Roman" w:hAnsi="Times New Roman" w:cs="Times New Roman"/>
          <w:sz w:val="24"/>
          <w:szCs w:val="24"/>
        </w:rPr>
        <w:t>PİROFEN şurup bir bardak suya, süte veya meyve suyuna karıştırılarak da içilebilir.</w:t>
      </w: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b/>
          <w:sz w:val="24"/>
          <w:szCs w:val="24"/>
        </w:rPr>
      </w:pPr>
      <w:r w:rsidRPr="00A763C5">
        <w:rPr>
          <w:rFonts w:ascii="Times New Roman" w:hAnsi="Times New Roman" w:cs="Times New Roman"/>
          <w:b/>
          <w:sz w:val="24"/>
          <w:szCs w:val="24"/>
        </w:rPr>
        <w:t>Özel popülasyonlara ilişkin ek bilgiler:</w:t>
      </w: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b/>
          <w:sz w:val="24"/>
          <w:szCs w:val="24"/>
        </w:rPr>
      </w:pPr>
      <w:r w:rsidRPr="00A763C5">
        <w:rPr>
          <w:rFonts w:ascii="Times New Roman" w:hAnsi="Times New Roman" w:cs="Times New Roman"/>
          <w:b/>
          <w:sz w:val="24"/>
          <w:szCs w:val="24"/>
        </w:rPr>
        <w:t>Böbrek / Karaciğer yetmezliği:</w:t>
      </w: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r w:rsidRPr="00A763C5">
        <w:rPr>
          <w:rFonts w:ascii="Times New Roman" w:hAnsi="Times New Roman" w:cs="Times New Roman"/>
          <w:sz w:val="24"/>
          <w:szCs w:val="24"/>
        </w:rPr>
        <w:t>PİROFEN, şiddetli karaciğer ve böbrek yetmezliği olan kişilerde kullanılmamalıdır.</w:t>
      </w:r>
    </w:p>
    <w:p w:rsidR="00367469" w:rsidRPr="00A763C5" w:rsidRDefault="00367469" w:rsidP="00250803">
      <w:pPr>
        <w:pStyle w:val="GvdeMetni3"/>
        <w:overflowPunct w:val="0"/>
        <w:autoSpaceDE w:val="0"/>
        <w:autoSpaceDN w:val="0"/>
        <w:adjustRightInd w:val="0"/>
        <w:spacing w:line="276" w:lineRule="auto"/>
        <w:textAlignment w:val="baseline"/>
        <w:rPr>
          <w:rFonts w:ascii="Times New Roman" w:hAnsi="Times New Roman" w:cs="Times New Roman"/>
          <w:sz w:val="24"/>
          <w:szCs w:val="24"/>
        </w:rPr>
      </w:pPr>
    </w:p>
    <w:p w:rsidR="00073968" w:rsidRPr="00A763C5" w:rsidRDefault="00073968" w:rsidP="00250803">
      <w:pPr>
        <w:pStyle w:val="GvdeMetni3"/>
        <w:overflowPunct w:val="0"/>
        <w:autoSpaceDE w:val="0"/>
        <w:autoSpaceDN w:val="0"/>
        <w:adjustRightInd w:val="0"/>
        <w:spacing w:line="276" w:lineRule="auto"/>
        <w:textAlignment w:val="baseline"/>
        <w:rPr>
          <w:rFonts w:ascii="Times New Roman" w:hAnsi="Times New Roman" w:cs="Times New Roman"/>
          <w:b/>
          <w:sz w:val="24"/>
          <w:szCs w:val="24"/>
        </w:rPr>
      </w:pPr>
      <w:r w:rsidRPr="00A763C5">
        <w:rPr>
          <w:rFonts w:ascii="Times New Roman" w:hAnsi="Times New Roman" w:cs="Times New Roman"/>
          <w:b/>
          <w:sz w:val="24"/>
          <w:szCs w:val="24"/>
        </w:rPr>
        <w:lastRenderedPageBreak/>
        <w:t>4.3</w:t>
      </w:r>
      <w:r w:rsidR="001C3E39" w:rsidRPr="00A763C5">
        <w:rPr>
          <w:rFonts w:ascii="Times New Roman" w:hAnsi="Times New Roman" w:cs="Times New Roman"/>
          <w:b/>
          <w:sz w:val="24"/>
          <w:szCs w:val="24"/>
        </w:rPr>
        <w:t>.</w:t>
      </w:r>
      <w:r w:rsidRPr="00A763C5">
        <w:rPr>
          <w:rFonts w:ascii="Times New Roman" w:hAnsi="Times New Roman" w:cs="Times New Roman"/>
          <w:b/>
          <w:sz w:val="24"/>
          <w:szCs w:val="24"/>
        </w:rPr>
        <w:t xml:space="preserve"> Kontrendikasyonlar</w:t>
      </w:r>
    </w:p>
    <w:p w:rsidR="00AE5ADB"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sz w:val="24"/>
          <w:szCs w:val="24"/>
        </w:rPr>
      </w:pPr>
      <w:r w:rsidRPr="00A763C5">
        <w:rPr>
          <w:rFonts w:ascii="Times New Roman" w:hAnsi="Times New Roman"/>
          <w:sz w:val="24"/>
          <w:szCs w:val="24"/>
        </w:rPr>
        <w:t>Parasetamol, aşağıdaki durumlarda kullanılmamalıdır:</w:t>
      </w:r>
    </w:p>
    <w:p w:rsidR="00696DEF" w:rsidRPr="00A763C5" w:rsidRDefault="00515E27" w:rsidP="00250803">
      <w:pPr>
        <w:pStyle w:val="GvdeMetni3"/>
        <w:numPr>
          <w:ilvl w:val="0"/>
          <w:numId w:val="5"/>
        </w:numPr>
        <w:overflowPunct w:val="0"/>
        <w:autoSpaceDE w:val="0"/>
        <w:autoSpaceDN w:val="0"/>
        <w:adjustRightInd w:val="0"/>
        <w:spacing w:line="276" w:lineRule="auto"/>
        <w:ind w:left="426"/>
        <w:textAlignment w:val="baseline"/>
        <w:rPr>
          <w:rFonts w:ascii="Times New Roman" w:hAnsi="Times New Roman"/>
          <w:sz w:val="24"/>
          <w:szCs w:val="24"/>
        </w:rPr>
      </w:pPr>
      <w:proofErr w:type="spellStart"/>
      <w:r w:rsidRPr="00A763C5">
        <w:rPr>
          <w:rFonts w:ascii="Times New Roman" w:hAnsi="Times New Roman"/>
          <w:sz w:val="24"/>
          <w:szCs w:val="24"/>
        </w:rPr>
        <w:t>Parasetamole</w:t>
      </w:r>
      <w:proofErr w:type="spellEnd"/>
      <w:r w:rsidRPr="00A763C5">
        <w:rPr>
          <w:rFonts w:ascii="Times New Roman" w:hAnsi="Times New Roman"/>
          <w:sz w:val="24"/>
          <w:szCs w:val="24"/>
        </w:rPr>
        <w:t xml:space="preserve"> ya da ilacın bileşiminde bulunan diğer bileşenlerden herhangi birisine karşı aşırı duyarlılığı olanlarda,</w:t>
      </w:r>
    </w:p>
    <w:p w:rsidR="00515E27" w:rsidRPr="00A763C5" w:rsidRDefault="00515E27" w:rsidP="00250803">
      <w:pPr>
        <w:pStyle w:val="GvdeMetni3"/>
        <w:numPr>
          <w:ilvl w:val="0"/>
          <w:numId w:val="5"/>
        </w:numPr>
        <w:overflowPunct w:val="0"/>
        <w:autoSpaceDE w:val="0"/>
        <w:autoSpaceDN w:val="0"/>
        <w:adjustRightInd w:val="0"/>
        <w:spacing w:line="276" w:lineRule="auto"/>
        <w:ind w:left="426"/>
        <w:textAlignment w:val="baseline"/>
        <w:rPr>
          <w:rFonts w:ascii="Times New Roman" w:hAnsi="Times New Roman"/>
          <w:sz w:val="24"/>
          <w:szCs w:val="24"/>
        </w:rPr>
      </w:pPr>
      <w:r w:rsidRPr="00A763C5">
        <w:rPr>
          <w:rFonts w:ascii="Times New Roman" w:hAnsi="Times New Roman"/>
          <w:sz w:val="24"/>
          <w:szCs w:val="24"/>
        </w:rPr>
        <w:t>Şiddetli karaciğer yetmezliği olanlarda (Child-Pugh kategorisi &gt;9)</w:t>
      </w:r>
    </w:p>
    <w:p w:rsidR="00515E27" w:rsidRPr="00A763C5" w:rsidRDefault="00515E27" w:rsidP="00250803">
      <w:pPr>
        <w:pStyle w:val="GvdeMetni3"/>
        <w:numPr>
          <w:ilvl w:val="0"/>
          <w:numId w:val="5"/>
        </w:numPr>
        <w:overflowPunct w:val="0"/>
        <w:autoSpaceDE w:val="0"/>
        <w:autoSpaceDN w:val="0"/>
        <w:adjustRightInd w:val="0"/>
        <w:spacing w:line="276" w:lineRule="auto"/>
        <w:ind w:left="426"/>
        <w:textAlignment w:val="baseline"/>
        <w:rPr>
          <w:rFonts w:ascii="Times New Roman" w:hAnsi="Times New Roman"/>
          <w:sz w:val="24"/>
          <w:szCs w:val="24"/>
        </w:rPr>
      </w:pPr>
      <w:r w:rsidRPr="00A763C5">
        <w:rPr>
          <w:rFonts w:ascii="Times New Roman" w:hAnsi="Times New Roman"/>
          <w:sz w:val="24"/>
          <w:szCs w:val="24"/>
        </w:rPr>
        <w:t>Şiddetli böbrek yetmezliği olanlarda</w:t>
      </w:r>
    </w:p>
    <w:p w:rsidR="00515E27" w:rsidRPr="00A763C5" w:rsidRDefault="00515E27" w:rsidP="00250803">
      <w:pPr>
        <w:pStyle w:val="GvdeMetni3"/>
        <w:numPr>
          <w:ilvl w:val="0"/>
          <w:numId w:val="5"/>
        </w:numPr>
        <w:overflowPunct w:val="0"/>
        <w:autoSpaceDE w:val="0"/>
        <w:autoSpaceDN w:val="0"/>
        <w:adjustRightInd w:val="0"/>
        <w:spacing w:line="276" w:lineRule="auto"/>
        <w:ind w:left="426"/>
        <w:textAlignment w:val="baseline"/>
        <w:rPr>
          <w:rFonts w:ascii="Times New Roman" w:hAnsi="Times New Roman"/>
          <w:sz w:val="24"/>
          <w:szCs w:val="24"/>
        </w:rPr>
      </w:pPr>
      <w:r w:rsidRPr="00A763C5">
        <w:rPr>
          <w:rFonts w:ascii="Times New Roman" w:hAnsi="Times New Roman"/>
          <w:sz w:val="24"/>
          <w:szCs w:val="24"/>
        </w:rPr>
        <w:t>Parasetamol içeren başka bir ilaç kullananlarda</w:t>
      </w:r>
    </w:p>
    <w:p w:rsidR="00515E27" w:rsidRPr="00A763C5" w:rsidRDefault="00515E27" w:rsidP="00250803">
      <w:pPr>
        <w:pStyle w:val="GvdeMetni3"/>
        <w:numPr>
          <w:ilvl w:val="0"/>
          <w:numId w:val="5"/>
        </w:numPr>
        <w:overflowPunct w:val="0"/>
        <w:autoSpaceDE w:val="0"/>
        <w:autoSpaceDN w:val="0"/>
        <w:adjustRightInd w:val="0"/>
        <w:spacing w:line="276" w:lineRule="auto"/>
        <w:ind w:left="426"/>
        <w:textAlignment w:val="baseline"/>
        <w:rPr>
          <w:rFonts w:ascii="Times New Roman" w:hAnsi="Times New Roman"/>
          <w:sz w:val="24"/>
          <w:szCs w:val="24"/>
        </w:rPr>
      </w:pPr>
      <w:r w:rsidRPr="00A763C5">
        <w:rPr>
          <w:rFonts w:ascii="Times New Roman" w:hAnsi="Times New Roman"/>
          <w:sz w:val="24"/>
          <w:szCs w:val="24"/>
        </w:rPr>
        <w:t xml:space="preserve">Vücut ağırlığı 4 </w:t>
      </w:r>
      <w:proofErr w:type="spellStart"/>
      <w:r w:rsidRPr="00A763C5">
        <w:rPr>
          <w:rFonts w:ascii="Times New Roman" w:hAnsi="Times New Roman"/>
          <w:sz w:val="24"/>
          <w:szCs w:val="24"/>
        </w:rPr>
        <w:t>kg</w:t>
      </w:r>
      <w:r w:rsidR="00672172" w:rsidRPr="00A763C5">
        <w:rPr>
          <w:rFonts w:ascii="Times New Roman" w:hAnsi="Times New Roman"/>
          <w:sz w:val="24"/>
          <w:szCs w:val="24"/>
        </w:rPr>
        <w:t>’</w:t>
      </w:r>
      <w:r w:rsidRPr="00A763C5">
        <w:rPr>
          <w:rFonts w:ascii="Times New Roman" w:hAnsi="Times New Roman"/>
          <w:sz w:val="24"/>
          <w:szCs w:val="24"/>
        </w:rPr>
        <w:t>dan</w:t>
      </w:r>
      <w:proofErr w:type="spellEnd"/>
      <w:r w:rsidRPr="00A763C5">
        <w:rPr>
          <w:rFonts w:ascii="Times New Roman" w:hAnsi="Times New Roman"/>
          <w:sz w:val="24"/>
          <w:szCs w:val="24"/>
        </w:rPr>
        <w:t xml:space="preserve"> düşük olan /erken doğan bebeklerde (37. hafta)</w:t>
      </w:r>
    </w:p>
    <w:p w:rsidR="00696DEF" w:rsidRPr="00A763C5" w:rsidRDefault="00696DEF" w:rsidP="00250803">
      <w:pPr>
        <w:pStyle w:val="GvdeMetni3"/>
        <w:overflowPunct w:val="0"/>
        <w:autoSpaceDE w:val="0"/>
        <w:autoSpaceDN w:val="0"/>
        <w:adjustRightInd w:val="0"/>
        <w:spacing w:line="276" w:lineRule="auto"/>
        <w:textAlignment w:val="baseline"/>
        <w:rPr>
          <w:rFonts w:ascii="Times New Roman" w:hAnsi="Times New Roman" w:cs="Times New Roman"/>
          <w:b/>
          <w:sz w:val="24"/>
          <w:szCs w:val="24"/>
        </w:rPr>
      </w:pPr>
    </w:p>
    <w:p w:rsidR="00355E19" w:rsidRPr="00A763C5" w:rsidRDefault="00073968" w:rsidP="00250803">
      <w:pPr>
        <w:pStyle w:val="GvdeMetni3"/>
        <w:overflowPunct w:val="0"/>
        <w:autoSpaceDE w:val="0"/>
        <w:autoSpaceDN w:val="0"/>
        <w:adjustRightInd w:val="0"/>
        <w:spacing w:line="276" w:lineRule="auto"/>
        <w:textAlignment w:val="baseline"/>
        <w:rPr>
          <w:rFonts w:ascii="Times New Roman" w:hAnsi="Times New Roman" w:cs="Times New Roman"/>
          <w:kern w:val="32"/>
          <w:sz w:val="24"/>
          <w:szCs w:val="24"/>
        </w:rPr>
      </w:pPr>
      <w:r w:rsidRPr="00A763C5">
        <w:rPr>
          <w:rFonts w:ascii="Times New Roman" w:hAnsi="Times New Roman" w:cs="Times New Roman"/>
          <w:b/>
          <w:sz w:val="24"/>
          <w:szCs w:val="24"/>
        </w:rPr>
        <w:t>4.4</w:t>
      </w:r>
      <w:r w:rsidR="001C3E39" w:rsidRPr="00A763C5">
        <w:rPr>
          <w:rFonts w:ascii="Times New Roman" w:hAnsi="Times New Roman" w:cs="Times New Roman"/>
          <w:b/>
          <w:sz w:val="24"/>
          <w:szCs w:val="24"/>
        </w:rPr>
        <w:t>.</w:t>
      </w:r>
      <w:r w:rsidRPr="00A763C5">
        <w:rPr>
          <w:rFonts w:ascii="Times New Roman" w:hAnsi="Times New Roman" w:cs="Times New Roman"/>
          <w:b/>
          <w:sz w:val="24"/>
          <w:szCs w:val="24"/>
        </w:rPr>
        <w:t xml:space="preserve"> </w:t>
      </w:r>
      <w:r w:rsidR="00FF5152" w:rsidRPr="00A763C5">
        <w:rPr>
          <w:rFonts w:ascii="Times New Roman" w:hAnsi="Times New Roman" w:cs="Times New Roman"/>
          <w:b/>
          <w:sz w:val="24"/>
          <w:szCs w:val="24"/>
        </w:rPr>
        <w:t xml:space="preserve">Özel </w:t>
      </w:r>
      <w:r w:rsidR="00435FDF" w:rsidRPr="00A763C5">
        <w:rPr>
          <w:rFonts w:ascii="Times New Roman" w:hAnsi="Times New Roman" w:cs="Times New Roman"/>
          <w:b/>
          <w:sz w:val="24"/>
          <w:szCs w:val="24"/>
        </w:rPr>
        <w:t>k</w:t>
      </w:r>
      <w:r w:rsidR="00FF5152" w:rsidRPr="00A763C5">
        <w:rPr>
          <w:rFonts w:ascii="Times New Roman" w:hAnsi="Times New Roman" w:cs="Times New Roman"/>
          <w:b/>
          <w:sz w:val="24"/>
          <w:szCs w:val="24"/>
        </w:rPr>
        <w:t xml:space="preserve">ullanım </w:t>
      </w:r>
      <w:r w:rsidR="00435FDF" w:rsidRPr="00A763C5">
        <w:rPr>
          <w:rFonts w:ascii="Times New Roman" w:hAnsi="Times New Roman" w:cs="Times New Roman"/>
          <w:b/>
          <w:sz w:val="24"/>
          <w:szCs w:val="24"/>
        </w:rPr>
        <w:t>u</w:t>
      </w:r>
      <w:r w:rsidR="00FF5152" w:rsidRPr="00A763C5">
        <w:rPr>
          <w:rFonts w:ascii="Times New Roman" w:hAnsi="Times New Roman" w:cs="Times New Roman"/>
          <w:b/>
          <w:sz w:val="24"/>
          <w:szCs w:val="24"/>
        </w:rPr>
        <w:t xml:space="preserve">yarıları ve </w:t>
      </w:r>
      <w:r w:rsidR="00435FDF" w:rsidRPr="00A763C5">
        <w:rPr>
          <w:rFonts w:ascii="Times New Roman" w:hAnsi="Times New Roman" w:cs="Times New Roman"/>
          <w:b/>
          <w:sz w:val="24"/>
          <w:szCs w:val="24"/>
        </w:rPr>
        <w:t>ö</w:t>
      </w:r>
      <w:r w:rsidR="00FF5152" w:rsidRPr="00A763C5">
        <w:rPr>
          <w:rFonts w:ascii="Times New Roman" w:hAnsi="Times New Roman" w:cs="Times New Roman"/>
          <w:b/>
          <w:sz w:val="24"/>
          <w:szCs w:val="24"/>
        </w:rPr>
        <w:t>nlemleri</w:t>
      </w:r>
    </w:p>
    <w:p w:rsidR="006C6456" w:rsidRPr="00A763C5" w:rsidRDefault="006C6456" w:rsidP="00250803">
      <w:pPr>
        <w:tabs>
          <w:tab w:val="left" w:pos="1200"/>
        </w:tabs>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Parasetamolü</w:t>
      </w:r>
      <w:proofErr w:type="spellEnd"/>
      <w:r w:rsidRPr="00A763C5">
        <w:rPr>
          <w:rFonts w:ascii="Times New Roman" w:hAnsi="Times New Roman"/>
          <w:spacing w:val="0"/>
          <w:position w:val="0"/>
          <w:sz w:val="24"/>
          <w:szCs w:val="24"/>
          <w:lang w:val="tr-TR"/>
        </w:rPr>
        <w:t xml:space="preserve"> ilk kullananlarda veya daha önce kullanım hikayesi olanlarda, kullanımın ilk dozunda ve</w:t>
      </w:r>
      <w:r w:rsidR="00E511AE" w:rsidRPr="00A763C5">
        <w:rPr>
          <w:rFonts w:ascii="Times New Roman" w:hAnsi="Times New Roman"/>
          <w:spacing w:val="0"/>
          <w:position w:val="0"/>
          <w:sz w:val="24"/>
          <w:szCs w:val="24"/>
          <w:lang w:val="tr-TR"/>
        </w:rPr>
        <w:t>ya</w:t>
      </w:r>
      <w:r w:rsidRPr="00A763C5">
        <w:rPr>
          <w:rFonts w:ascii="Times New Roman" w:hAnsi="Times New Roman"/>
          <w:spacing w:val="0"/>
          <w:position w:val="0"/>
          <w:sz w:val="24"/>
          <w:szCs w:val="24"/>
          <w:lang w:val="tr-TR"/>
        </w:rPr>
        <w:t xml:space="preserve"> tekrarlayan dozlarında deride kızarıklık, döküntü veya bir deri reaksiyonu oluşabilmektedir. Bu durumda doktor ile irtibata geçilerek ilacın kullanımının bırakılması ve alternatif bir tedaviye geçilmesi gerekmektedir. Parasetamol ile deri reaksiyonu gözlenen kişi bir daha bu ilacı veya parasetamol içeren başka bir </w:t>
      </w:r>
      <w:r w:rsidR="00594B65" w:rsidRPr="00A763C5">
        <w:rPr>
          <w:rFonts w:ascii="Times New Roman" w:hAnsi="Times New Roman"/>
          <w:spacing w:val="0"/>
          <w:position w:val="0"/>
          <w:sz w:val="24"/>
          <w:szCs w:val="24"/>
          <w:lang w:val="tr-TR"/>
        </w:rPr>
        <w:t xml:space="preserve">ilacı kullanmamalıdır. Bu durum, ciddi ve ölümle sonuçlanabilen </w:t>
      </w:r>
      <w:proofErr w:type="spellStart"/>
      <w:r w:rsidR="00594B65" w:rsidRPr="00A763C5">
        <w:rPr>
          <w:rFonts w:ascii="Times New Roman" w:hAnsi="Times New Roman"/>
          <w:spacing w:val="0"/>
          <w:position w:val="0"/>
          <w:sz w:val="24"/>
          <w:szCs w:val="24"/>
          <w:lang w:val="tr-TR"/>
        </w:rPr>
        <w:t>Steven</w:t>
      </w:r>
      <w:proofErr w:type="spellEnd"/>
      <w:r w:rsidR="00594B65" w:rsidRPr="00A763C5">
        <w:rPr>
          <w:rFonts w:ascii="Times New Roman" w:hAnsi="Times New Roman"/>
          <w:spacing w:val="0"/>
          <w:position w:val="0"/>
          <w:sz w:val="24"/>
          <w:szCs w:val="24"/>
          <w:lang w:val="tr-TR"/>
        </w:rPr>
        <w:t xml:space="preserve"> Johnson Sendromu (SJS), toksik epidermal nekroliz (TEN) ve akut </w:t>
      </w:r>
      <w:proofErr w:type="spellStart"/>
      <w:r w:rsidR="00594B65" w:rsidRPr="00A763C5">
        <w:rPr>
          <w:rFonts w:ascii="Times New Roman" w:hAnsi="Times New Roman"/>
          <w:spacing w:val="0"/>
          <w:position w:val="0"/>
          <w:sz w:val="24"/>
          <w:szCs w:val="24"/>
          <w:lang w:val="tr-TR"/>
        </w:rPr>
        <w:t>generalize</w:t>
      </w:r>
      <w:proofErr w:type="spellEnd"/>
      <w:r w:rsidR="00594B65" w:rsidRPr="00A763C5">
        <w:rPr>
          <w:rFonts w:ascii="Times New Roman" w:hAnsi="Times New Roman"/>
          <w:spacing w:val="0"/>
          <w:position w:val="0"/>
          <w:sz w:val="24"/>
          <w:szCs w:val="24"/>
          <w:lang w:val="tr-TR"/>
        </w:rPr>
        <w:t xml:space="preserve"> </w:t>
      </w:r>
      <w:proofErr w:type="spellStart"/>
      <w:r w:rsidR="00594B65" w:rsidRPr="00A763C5">
        <w:rPr>
          <w:rFonts w:ascii="Times New Roman" w:hAnsi="Times New Roman"/>
          <w:spacing w:val="0"/>
          <w:position w:val="0"/>
          <w:sz w:val="24"/>
          <w:szCs w:val="24"/>
          <w:lang w:val="tr-TR"/>
        </w:rPr>
        <w:t>ekzantematöz</w:t>
      </w:r>
      <w:proofErr w:type="spellEnd"/>
      <w:r w:rsidR="00594B65" w:rsidRPr="00A763C5">
        <w:rPr>
          <w:rFonts w:ascii="Times New Roman" w:hAnsi="Times New Roman"/>
          <w:spacing w:val="0"/>
          <w:position w:val="0"/>
          <w:sz w:val="24"/>
          <w:szCs w:val="24"/>
          <w:lang w:val="tr-TR"/>
        </w:rPr>
        <w:t xml:space="preserve"> </w:t>
      </w:r>
      <w:proofErr w:type="spellStart"/>
      <w:r w:rsidR="00594B65" w:rsidRPr="00A763C5">
        <w:rPr>
          <w:rFonts w:ascii="Times New Roman" w:hAnsi="Times New Roman"/>
          <w:spacing w:val="0"/>
          <w:position w:val="0"/>
          <w:sz w:val="24"/>
          <w:szCs w:val="24"/>
          <w:lang w:val="tr-TR"/>
        </w:rPr>
        <w:t>püstüloz</w:t>
      </w:r>
      <w:proofErr w:type="spellEnd"/>
      <w:r w:rsidR="00594B65" w:rsidRPr="00A763C5">
        <w:rPr>
          <w:rFonts w:ascii="Times New Roman" w:hAnsi="Times New Roman"/>
          <w:spacing w:val="0"/>
          <w:position w:val="0"/>
          <w:sz w:val="24"/>
          <w:szCs w:val="24"/>
          <w:lang w:val="tr-TR"/>
        </w:rPr>
        <w:t xml:space="preserve"> (AGEP) dahil cilt reaksiyonlarına neden olabilmektedir.</w:t>
      </w:r>
    </w:p>
    <w:p w:rsidR="00594B65" w:rsidRPr="00A763C5" w:rsidRDefault="00594B65"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Anemisi olanlar, akciğer hastaları, karaciğer ve böbrek fonksiyon bozukluğu olan hastalarda doktor kontrolü altında dikkatli kullanılmalıdır. Önceden mevcut hepatik hastalığı bulunan hastalar için, yüksek dozda veya uzun süreli tedaviler esnasında periyodik aralıklarla karaciğer fonksiyon tetkikleri yapmak gerekebilir. Böbrek yetmezliği (kreatinin klerensi &lt; 10 ml/dakika) halinde, doktorun parasetamol kullanımının yarar/ risk oranını dikkatle de</w:t>
      </w:r>
      <w:r w:rsidR="006C42EC"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erlendirmesi gerekir. Doz ayarlaması yapılmalı ve hasta kesintisiz izlenmelidir.</w:t>
      </w:r>
    </w:p>
    <w:p w:rsidR="006C6456" w:rsidRPr="00A763C5" w:rsidRDefault="006C6456"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Kronik günlük dozlarda ve akut yüksek dozlarda karaci</w:t>
      </w:r>
      <w:r w:rsidR="006C42EC"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er hasarına neden olabilir.</w:t>
      </w:r>
    </w:p>
    <w:p w:rsidR="00737FAD" w:rsidRPr="00A763C5" w:rsidRDefault="00737FAD"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Hepatotoksisite riskinden ötürü, parasetamol, tavsiye edilenden daha yüksek dozlarda ya</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da daha uzun süreli alınmamalıdır. Karaci</w:t>
      </w:r>
      <w:r w:rsidR="006C42EC"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er yetmezli</w:t>
      </w:r>
      <w:r w:rsidR="006C42EC"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i (Child-Pugh kategorisi &lt;9) olan</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hastalar, </w:t>
      </w:r>
      <w:proofErr w:type="spellStart"/>
      <w:r w:rsidRPr="00A763C5">
        <w:rPr>
          <w:rFonts w:ascii="Times New Roman" w:hAnsi="Times New Roman"/>
          <w:spacing w:val="0"/>
          <w:position w:val="0"/>
          <w:sz w:val="24"/>
          <w:szCs w:val="24"/>
          <w:lang w:val="tr-TR"/>
        </w:rPr>
        <w:t>parasetamolü</w:t>
      </w:r>
      <w:proofErr w:type="spellEnd"/>
      <w:r w:rsidRPr="00A763C5">
        <w:rPr>
          <w:rFonts w:ascii="Times New Roman" w:hAnsi="Times New Roman"/>
          <w:spacing w:val="0"/>
          <w:position w:val="0"/>
          <w:sz w:val="24"/>
          <w:szCs w:val="24"/>
          <w:lang w:val="tr-TR"/>
        </w:rPr>
        <w:t xml:space="preserve"> dikkatli kullanmalıdırlar.</w:t>
      </w:r>
    </w:p>
    <w:p w:rsidR="00737FAD" w:rsidRPr="00A763C5" w:rsidRDefault="00737FAD"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Terapötik dozlarda parasetamol uygulaması esnasında serum alanin aminotransferaz</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(ALT) seviyelerinde bir yükselme meydana gelebilir.</w:t>
      </w:r>
    </w:p>
    <w:p w:rsidR="006C42EC" w:rsidRPr="00A763C5" w:rsidRDefault="006C42EC"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Hepatik oksidatif stresi artıran ve </w:t>
      </w:r>
      <w:proofErr w:type="spellStart"/>
      <w:r w:rsidRPr="00A763C5">
        <w:rPr>
          <w:rFonts w:ascii="Times New Roman" w:hAnsi="Times New Roman"/>
          <w:spacing w:val="0"/>
          <w:position w:val="0"/>
          <w:sz w:val="24"/>
          <w:szCs w:val="24"/>
          <w:lang w:val="tr-TR"/>
        </w:rPr>
        <w:t>hepatik</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glutatyon</w:t>
      </w:r>
      <w:proofErr w:type="spellEnd"/>
      <w:r w:rsidRPr="00A763C5">
        <w:rPr>
          <w:rFonts w:ascii="Times New Roman" w:hAnsi="Times New Roman"/>
          <w:spacing w:val="0"/>
          <w:position w:val="0"/>
          <w:sz w:val="24"/>
          <w:szCs w:val="24"/>
          <w:lang w:val="tr-TR"/>
        </w:rPr>
        <w:t xml:space="preserve"> rezervini azaltan, </w:t>
      </w:r>
      <w:proofErr w:type="spellStart"/>
      <w:r w:rsidRPr="00A763C5">
        <w:rPr>
          <w:rFonts w:ascii="Times New Roman" w:hAnsi="Times New Roman"/>
          <w:spacing w:val="0"/>
          <w:position w:val="0"/>
          <w:sz w:val="24"/>
          <w:szCs w:val="24"/>
          <w:lang w:val="tr-TR"/>
        </w:rPr>
        <w:t>terapötik</w:t>
      </w:r>
      <w:proofErr w:type="spellEnd"/>
      <w:r w:rsidRPr="00A763C5">
        <w:rPr>
          <w:rFonts w:ascii="Times New Roman" w:hAnsi="Times New Roman"/>
          <w:spacing w:val="0"/>
          <w:position w:val="0"/>
          <w:sz w:val="24"/>
          <w:szCs w:val="24"/>
          <w:lang w:val="tr-TR"/>
        </w:rPr>
        <w:t xml:space="preserve"> dozlarda</w:t>
      </w:r>
      <w:r w:rsidR="006C42EC"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parasetamolle</w:t>
      </w:r>
      <w:proofErr w:type="spellEnd"/>
      <w:r w:rsidRPr="00A763C5">
        <w:rPr>
          <w:rFonts w:ascii="Times New Roman" w:hAnsi="Times New Roman"/>
          <w:spacing w:val="0"/>
          <w:position w:val="0"/>
          <w:sz w:val="24"/>
          <w:szCs w:val="24"/>
          <w:lang w:val="tr-TR"/>
        </w:rPr>
        <w:t xml:space="preserve"> e</w:t>
      </w:r>
      <w:r w:rsidR="006C42EC"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zamanlı ilaç kullanımı, alkolizm, sepsis veya diabetes mellitus gibi</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çe</w:t>
      </w:r>
      <w:r w:rsidR="00A43437"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itli durumlar hastada hepatik toksisite riskinde artı</w:t>
      </w:r>
      <w:r w:rsidR="00A43437"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a yol açabilir.</w:t>
      </w:r>
    </w:p>
    <w:p w:rsidR="006C42EC" w:rsidRPr="00A763C5" w:rsidRDefault="006C42EC"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Yüksek dozlarda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uzun süreli kullanılması böbrek hasarına neden olabilir.</w:t>
      </w:r>
      <w:r w:rsidR="00A43437"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Genelde, özellikle di</w:t>
      </w:r>
      <w:r w:rsidR="00A43437"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er analjeziklerle kombinasyon halinde kesintisiz parasetamol</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kullanılması, kalıcı böbrek hasarına ve böbrek yetmezli</w:t>
      </w:r>
      <w:r w:rsidR="00A43437"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i riskine (analjezik nefropatisi)</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neden olabilir.</w:t>
      </w: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lastRenderedPageBreak/>
        <w:t>Gilbert sendromu olan hastaların parasetamol kullanması, sarılık gibi klinik semptomlara</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ve daha belirgin </w:t>
      </w:r>
      <w:proofErr w:type="spellStart"/>
      <w:r w:rsidRPr="00A763C5">
        <w:rPr>
          <w:rFonts w:ascii="Times New Roman" w:hAnsi="Times New Roman"/>
          <w:spacing w:val="0"/>
          <w:position w:val="0"/>
          <w:sz w:val="24"/>
          <w:szCs w:val="24"/>
          <w:lang w:val="tr-TR"/>
        </w:rPr>
        <w:t>hiperbilirubinemiye</w:t>
      </w:r>
      <w:proofErr w:type="spellEnd"/>
      <w:r w:rsidRPr="00A763C5">
        <w:rPr>
          <w:rFonts w:ascii="Times New Roman" w:hAnsi="Times New Roman"/>
          <w:spacing w:val="0"/>
          <w:position w:val="0"/>
          <w:sz w:val="24"/>
          <w:szCs w:val="24"/>
          <w:lang w:val="tr-TR"/>
        </w:rPr>
        <w:t xml:space="preserve"> neden olabilir. Bundan dolayı, bu hastalar</w:t>
      </w:r>
      <w:r w:rsidR="006C42EC"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parasetamolü</w:t>
      </w:r>
      <w:proofErr w:type="spellEnd"/>
      <w:r w:rsidRPr="00A763C5">
        <w:rPr>
          <w:rFonts w:ascii="Times New Roman" w:hAnsi="Times New Roman"/>
          <w:spacing w:val="0"/>
          <w:position w:val="0"/>
          <w:sz w:val="24"/>
          <w:szCs w:val="24"/>
          <w:lang w:val="tr-TR"/>
        </w:rPr>
        <w:t xml:space="preserve"> dikkatli kullanmalıdırlar.</w:t>
      </w:r>
    </w:p>
    <w:p w:rsidR="006C42EC" w:rsidRPr="00A763C5" w:rsidRDefault="006C42EC"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Orta düzeyde alkol ile ve e</w:t>
      </w:r>
      <w:r w:rsidR="00A43437"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zamanlı parasetamol alınması, karaci</w:t>
      </w:r>
      <w:r w:rsidR="00A43437"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er toksisitesi riskinde</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bir artı</w:t>
      </w:r>
      <w:r w:rsidR="00A43437"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a yol açabilir. Alkolik karaci</w:t>
      </w:r>
      <w:r w:rsidR="00A43437"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er hastalarında dikkatli kullanılmalıdır.</w:t>
      </w:r>
    </w:p>
    <w:p w:rsidR="006C42EC" w:rsidRPr="00A763C5" w:rsidRDefault="006C42EC"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Parasetamol içeren di</w:t>
      </w:r>
      <w:r w:rsidR="00A43437"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 xml:space="preserve">er ilaçların </w:t>
      </w:r>
      <w:r w:rsidR="00A43437" w:rsidRPr="00A763C5">
        <w:rPr>
          <w:rFonts w:ascii="Times New Roman" w:hAnsi="Times New Roman"/>
          <w:spacing w:val="0"/>
          <w:position w:val="0"/>
          <w:sz w:val="24"/>
          <w:szCs w:val="24"/>
          <w:lang w:val="tr-TR"/>
        </w:rPr>
        <w:t>PİROFEN</w:t>
      </w:r>
      <w:r w:rsidRPr="00A763C5">
        <w:rPr>
          <w:rFonts w:ascii="Times New Roman" w:hAnsi="Times New Roman"/>
          <w:spacing w:val="0"/>
          <w:position w:val="0"/>
          <w:sz w:val="24"/>
          <w:szCs w:val="24"/>
          <w:lang w:val="tr-TR"/>
        </w:rPr>
        <w:t xml:space="preserve"> ile e</w:t>
      </w:r>
      <w:r w:rsidR="00A43437"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zamanlı kullanımından</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kaçınılmalıdır.</w:t>
      </w:r>
    </w:p>
    <w:p w:rsidR="006C42EC" w:rsidRPr="00A763C5" w:rsidRDefault="006C42EC"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3 – 5 gün içinde yeni semptomların olu</w:t>
      </w:r>
      <w:r w:rsidR="00A43437"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ması ya da a</w:t>
      </w:r>
      <w:r w:rsidR="00A43437"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rının ve/veya ate</w:t>
      </w:r>
      <w:r w:rsidR="00A43437"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in azalmaması</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halinde,</w:t>
      </w:r>
      <w:r w:rsidR="00A43437"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hastaların parasetamol kullanmaya son vermesi ve bir doktora danı</w:t>
      </w:r>
      <w:r w:rsidR="00A43437" w:rsidRPr="00A763C5">
        <w:rPr>
          <w:rFonts w:ascii="Times New Roman" w:hAnsi="Times New Roman"/>
          <w:spacing w:val="0"/>
          <w:position w:val="0"/>
          <w:sz w:val="24"/>
          <w:szCs w:val="24"/>
          <w:lang w:val="tr-TR"/>
        </w:rPr>
        <w:t>ş</w:t>
      </w:r>
      <w:r w:rsidRPr="00A763C5">
        <w:rPr>
          <w:rFonts w:ascii="Times New Roman" w:hAnsi="Times New Roman"/>
          <w:spacing w:val="0"/>
          <w:position w:val="0"/>
          <w:sz w:val="24"/>
          <w:szCs w:val="24"/>
          <w:lang w:val="tr-TR"/>
        </w:rPr>
        <w:t>ması tavsiye</w:t>
      </w:r>
      <w:r w:rsidR="006C42EC"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edilir.</w:t>
      </w:r>
    </w:p>
    <w:p w:rsidR="006C42EC" w:rsidRPr="00A763C5" w:rsidRDefault="006C42EC"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Nadir kalıtımsal früktoz </w:t>
      </w:r>
      <w:proofErr w:type="spellStart"/>
      <w:r w:rsidRPr="00A763C5">
        <w:rPr>
          <w:rFonts w:ascii="Times New Roman" w:hAnsi="Times New Roman"/>
          <w:spacing w:val="0"/>
          <w:position w:val="0"/>
          <w:sz w:val="24"/>
          <w:szCs w:val="24"/>
          <w:lang w:val="tr-TR"/>
        </w:rPr>
        <w:t>intoleransı</w:t>
      </w:r>
      <w:proofErr w:type="spellEnd"/>
      <w:r w:rsidRPr="00A763C5">
        <w:rPr>
          <w:rFonts w:ascii="Times New Roman" w:hAnsi="Times New Roman"/>
          <w:spacing w:val="0"/>
          <w:position w:val="0"/>
          <w:sz w:val="24"/>
          <w:szCs w:val="24"/>
          <w:lang w:val="tr-TR"/>
        </w:rPr>
        <w:t>, glikoz-</w:t>
      </w:r>
      <w:proofErr w:type="spellStart"/>
      <w:r w:rsidRPr="00A763C5">
        <w:rPr>
          <w:rFonts w:ascii="Times New Roman" w:hAnsi="Times New Roman"/>
          <w:spacing w:val="0"/>
          <w:position w:val="0"/>
          <w:sz w:val="24"/>
          <w:szCs w:val="24"/>
          <w:lang w:val="tr-TR"/>
        </w:rPr>
        <w:t>galaktoz</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malabsorpsiyon</w:t>
      </w:r>
      <w:proofErr w:type="spellEnd"/>
      <w:r w:rsidRPr="00A763C5">
        <w:rPr>
          <w:rFonts w:ascii="Times New Roman" w:hAnsi="Times New Roman"/>
          <w:spacing w:val="0"/>
          <w:position w:val="0"/>
          <w:sz w:val="24"/>
          <w:szCs w:val="24"/>
          <w:lang w:val="tr-TR"/>
        </w:rPr>
        <w:t xml:space="preserve"> veya </w:t>
      </w:r>
      <w:proofErr w:type="spellStart"/>
      <w:r w:rsidRPr="00A763C5">
        <w:rPr>
          <w:rFonts w:ascii="Times New Roman" w:hAnsi="Times New Roman"/>
          <w:spacing w:val="0"/>
          <w:position w:val="0"/>
          <w:sz w:val="24"/>
          <w:szCs w:val="24"/>
          <w:lang w:val="tr-TR"/>
        </w:rPr>
        <w:t>sükrazizomaltaz</w:t>
      </w:r>
      <w:proofErr w:type="spellEnd"/>
      <w:r w:rsidR="00DD515E"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yetmezli</w:t>
      </w:r>
      <w:r w:rsidR="00A43437" w:rsidRPr="00A763C5">
        <w:rPr>
          <w:rFonts w:ascii="Times New Roman" w:hAnsi="Times New Roman"/>
          <w:spacing w:val="0"/>
          <w:position w:val="0"/>
          <w:sz w:val="24"/>
          <w:szCs w:val="24"/>
          <w:lang w:val="tr-TR"/>
        </w:rPr>
        <w:t>ğ</w:t>
      </w:r>
      <w:r w:rsidRPr="00A763C5">
        <w:rPr>
          <w:rFonts w:ascii="Times New Roman" w:hAnsi="Times New Roman"/>
          <w:spacing w:val="0"/>
          <w:position w:val="0"/>
          <w:sz w:val="24"/>
          <w:szCs w:val="24"/>
          <w:lang w:val="tr-TR"/>
        </w:rPr>
        <w:t>i problemi olan hastaların bu ilacı kullanmamaları gerekir.</w:t>
      </w:r>
    </w:p>
    <w:p w:rsidR="00A43437" w:rsidRPr="00A763C5" w:rsidRDefault="00A43437" w:rsidP="00250803">
      <w:pPr>
        <w:tabs>
          <w:tab w:val="left" w:pos="1200"/>
        </w:tabs>
        <w:spacing w:line="276" w:lineRule="auto"/>
        <w:jc w:val="both"/>
        <w:rPr>
          <w:rFonts w:ascii="Times New Roman" w:hAnsi="Times New Roman"/>
          <w:spacing w:val="0"/>
          <w:position w:val="0"/>
          <w:sz w:val="24"/>
          <w:szCs w:val="24"/>
          <w:lang w:val="tr-TR"/>
        </w:rPr>
      </w:pPr>
    </w:p>
    <w:p w:rsidR="00515E27" w:rsidRPr="00A763C5" w:rsidRDefault="00515E27"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Bu tıbbi ürün </w:t>
      </w:r>
      <w:proofErr w:type="spellStart"/>
      <w:r w:rsidR="00845220" w:rsidRPr="00A763C5">
        <w:rPr>
          <w:rFonts w:ascii="Times New Roman" w:hAnsi="Times New Roman"/>
          <w:spacing w:val="0"/>
          <w:position w:val="0"/>
          <w:sz w:val="24"/>
          <w:szCs w:val="24"/>
          <w:lang w:val="tr-TR"/>
        </w:rPr>
        <w:t>sakkarin</w:t>
      </w:r>
      <w:proofErr w:type="spellEnd"/>
      <w:r w:rsidRPr="00A763C5">
        <w:rPr>
          <w:rFonts w:ascii="Times New Roman" w:hAnsi="Times New Roman"/>
          <w:spacing w:val="0"/>
          <w:position w:val="0"/>
          <w:sz w:val="24"/>
          <w:szCs w:val="24"/>
          <w:lang w:val="tr-TR"/>
        </w:rPr>
        <w:t xml:space="preserve"> sodyum içerir. Bu durum, kontrollü sodyum diyetinde olan hastalar</w:t>
      </w:r>
      <w:r w:rsidR="00A43437"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için göz</w:t>
      </w:r>
      <w:r w:rsidR="00673F10"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önünde bulundurulmalıdır.</w:t>
      </w:r>
    </w:p>
    <w:p w:rsidR="006E5FA6" w:rsidRPr="00A763C5" w:rsidRDefault="006E5FA6" w:rsidP="00250803">
      <w:pPr>
        <w:tabs>
          <w:tab w:val="left" w:pos="1200"/>
        </w:tabs>
        <w:spacing w:line="276" w:lineRule="auto"/>
        <w:jc w:val="both"/>
        <w:rPr>
          <w:rFonts w:ascii="Times New Roman" w:hAnsi="Times New Roman"/>
          <w:spacing w:val="0"/>
          <w:position w:val="0"/>
          <w:sz w:val="24"/>
          <w:szCs w:val="24"/>
          <w:lang w:val="tr-TR"/>
        </w:rPr>
      </w:pPr>
    </w:p>
    <w:p w:rsidR="00D12406" w:rsidRPr="00A763C5" w:rsidRDefault="00D1240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Bu tıbbi ürün az miktarda –her dozda 100 mg</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dan daha az- etanol (alkol) içerir.</w:t>
      </w:r>
    </w:p>
    <w:p w:rsidR="00D12406" w:rsidRPr="00A763C5" w:rsidRDefault="00D1240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 </w:t>
      </w:r>
    </w:p>
    <w:p w:rsidR="00673F10" w:rsidRPr="00A763C5" w:rsidRDefault="00673F10"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Ağrı süresi 5 günü aşarsa ya da ateş 3 günden fazla sürerse, artarsa ve /veya başka belirtiler ortaya çıkarsa hekime veya eczacıya danışılmadan tedaviye devam edilmemelidir.</w:t>
      </w:r>
    </w:p>
    <w:p w:rsidR="00672172" w:rsidRPr="00A763C5" w:rsidRDefault="00672172" w:rsidP="00250803">
      <w:pPr>
        <w:tabs>
          <w:tab w:val="left" w:pos="1200"/>
        </w:tabs>
        <w:spacing w:line="276" w:lineRule="auto"/>
        <w:jc w:val="both"/>
        <w:rPr>
          <w:rFonts w:ascii="Times New Roman" w:hAnsi="Times New Roman"/>
          <w:spacing w:val="0"/>
          <w:position w:val="0"/>
          <w:sz w:val="24"/>
          <w:szCs w:val="24"/>
          <w:lang w:val="tr-TR"/>
        </w:rPr>
      </w:pPr>
    </w:p>
    <w:p w:rsidR="00073968" w:rsidRPr="00A763C5" w:rsidRDefault="00FF5152" w:rsidP="00250803">
      <w:pPr>
        <w:tabs>
          <w:tab w:val="left" w:pos="1200"/>
        </w:tabs>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4.5</w:t>
      </w:r>
      <w:r w:rsidR="001C3E39"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Diğer </w:t>
      </w:r>
      <w:r w:rsidR="00BD517E" w:rsidRPr="00A763C5">
        <w:rPr>
          <w:rFonts w:ascii="Times New Roman" w:hAnsi="Times New Roman"/>
          <w:b/>
          <w:spacing w:val="0"/>
          <w:position w:val="0"/>
          <w:sz w:val="24"/>
          <w:szCs w:val="24"/>
          <w:lang w:val="tr-TR"/>
        </w:rPr>
        <w:t>t</w:t>
      </w:r>
      <w:r w:rsidRPr="00A763C5">
        <w:rPr>
          <w:rFonts w:ascii="Times New Roman" w:hAnsi="Times New Roman"/>
          <w:b/>
          <w:spacing w:val="0"/>
          <w:position w:val="0"/>
          <w:sz w:val="24"/>
          <w:szCs w:val="24"/>
          <w:lang w:val="tr-TR"/>
        </w:rPr>
        <w:t xml:space="preserve">ıbbi </w:t>
      </w:r>
      <w:r w:rsidR="00BD517E" w:rsidRPr="00A763C5">
        <w:rPr>
          <w:rFonts w:ascii="Times New Roman" w:hAnsi="Times New Roman"/>
          <w:b/>
          <w:spacing w:val="0"/>
          <w:position w:val="0"/>
          <w:sz w:val="24"/>
          <w:szCs w:val="24"/>
          <w:lang w:val="tr-TR"/>
        </w:rPr>
        <w:t>ü</w:t>
      </w:r>
      <w:r w:rsidRPr="00A763C5">
        <w:rPr>
          <w:rFonts w:ascii="Times New Roman" w:hAnsi="Times New Roman"/>
          <w:b/>
          <w:spacing w:val="0"/>
          <w:position w:val="0"/>
          <w:sz w:val="24"/>
          <w:szCs w:val="24"/>
          <w:lang w:val="tr-TR"/>
        </w:rPr>
        <w:t>rünler ile</w:t>
      </w:r>
      <w:r w:rsidR="00073968" w:rsidRPr="00A763C5">
        <w:rPr>
          <w:rFonts w:ascii="Times New Roman" w:hAnsi="Times New Roman"/>
          <w:b/>
          <w:spacing w:val="0"/>
          <w:position w:val="0"/>
          <w:sz w:val="24"/>
          <w:szCs w:val="24"/>
          <w:lang w:val="tr-TR"/>
        </w:rPr>
        <w:t xml:space="preserve"> </w:t>
      </w:r>
      <w:r w:rsidR="00BD517E" w:rsidRPr="00A763C5">
        <w:rPr>
          <w:rFonts w:ascii="Times New Roman" w:hAnsi="Times New Roman"/>
          <w:b/>
          <w:spacing w:val="0"/>
          <w:position w:val="0"/>
          <w:sz w:val="24"/>
          <w:szCs w:val="24"/>
          <w:lang w:val="tr-TR"/>
        </w:rPr>
        <w:t>e</w:t>
      </w:r>
      <w:r w:rsidR="00073968" w:rsidRPr="00A763C5">
        <w:rPr>
          <w:rFonts w:ascii="Times New Roman" w:hAnsi="Times New Roman"/>
          <w:b/>
          <w:spacing w:val="0"/>
          <w:position w:val="0"/>
          <w:sz w:val="24"/>
          <w:szCs w:val="24"/>
          <w:lang w:val="tr-TR"/>
        </w:rPr>
        <w:t>tkileşim</w:t>
      </w:r>
      <w:r w:rsidRPr="00A763C5">
        <w:rPr>
          <w:rFonts w:ascii="Times New Roman" w:hAnsi="Times New Roman"/>
          <w:b/>
          <w:spacing w:val="0"/>
          <w:position w:val="0"/>
          <w:sz w:val="24"/>
          <w:szCs w:val="24"/>
          <w:lang w:val="tr-TR"/>
        </w:rPr>
        <w:t>ler</w:t>
      </w:r>
      <w:r w:rsidR="00073968" w:rsidRPr="00A763C5">
        <w:rPr>
          <w:rFonts w:ascii="Times New Roman" w:hAnsi="Times New Roman"/>
          <w:b/>
          <w:spacing w:val="0"/>
          <w:position w:val="0"/>
          <w:sz w:val="24"/>
          <w:szCs w:val="24"/>
          <w:lang w:val="tr-TR"/>
        </w:rPr>
        <w:t xml:space="preserve"> ve </w:t>
      </w:r>
      <w:r w:rsidR="00BD517E" w:rsidRPr="00A763C5">
        <w:rPr>
          <w:rFonts w:ascii="Times New Roman" w:hAnsi="Times New Roman"/>
          <w:b/>
          <w:spacing w:val="0"/>
          <w:position w:val="0"/>
          <w:sz w:val="24"/>
          <w:szCs w:val="24"/>
          <w:lang w:val="tr-TR"/>
        </w:rPr>
        <w:t>d</w:t>
      </w:r>
      <w:r w:rsidR="00073968" w:rsidRPr="00A763C5">
        <w:rPr>
          <w:rFonts w:ascii="Times New Roman" w:hAnsi="Times New Roman"/>
          <w:b/>
          <w:spacing w:val="0"/>
          <w:position w:val="0"/>
          <w:sz w:val="24"/>
          <w:szCs w:val="24"/>
          <w:lang w:val="tr-TR"/>
        </w:rPr>
        <w:t xml:space="preserve">iğer </w:t>
      </w:r>
      <w:r w:rsidR="00BD517E" w:rsidRPr="00A763C5">
        <w:rPr>
          <w:rFonts w:ascii="Times New Roman" w:hAnsi="Times New Roman"/>
          <w:b/>
          <w:spacing w:val="0"/>
          <w:position w:val="0"/>
          <w:sz w:val="24"/>
          <w:szCs w:val="24"/>
          <w:lang w:val="tr-TR"/>
        </w:rPr>
        <w:t>e</w:t>
      </w:r>
      <w:r w:rsidR="00073968" w:rsidRPr="00A763C5">
        <w:rPr>
          <w:rFonts w:ascii="Times New Roman" w:hAnsi="Times New Roman"/>
          <w:b/>
          <w:spacing w:val="0"/>
          <w:position w:val="0"/>
          <w:sz w:val="24"/>
          <w:szCs w:val="24"/>
          <w:lang w:val="tr-TR"/>
        </w:rPr>
        <w:t xml:space="preserve">tkileşim </w:t>
      </w:r>
      <w:r w:rsidR="00BD517E" w:rsidRPr="00A763C5">
        <w:rPr>
          <w:rFonts w:ascii="Times New Roman" w:hAnsi="Times New Roman"/>
          <w:b/>
          <w:spacing w:val="0"/>
          <w:position w:val="0"/>
          <w:sz w:val="24"/>
          <w:szCs w:val="24"/>
          <w:lang w:val="tr-TR"/>
        </w:rPr>
        <w:t>şekilleri</w:t>
      </w:r>
    </w:p>
    <w:p w:rsidR="00BD517E" w:rsidRPr="00A763C5" w:rsidRDefault="00BD517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Propantelin gibi, gastrik boşalmada gecikmeye yol açan ilaçlar veya mide boşalmasını yavaşlatan etkenler,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daha yavaş </w:t>
      </w:r>
      <w:proofErr w:type="spellStart"/>
      <w:r w:rsidRPr="00A763C5">
        <w:rPr>
          <w:rFonts w:ascii="Times New Roman" w:hAnsi="Times New Roman"/>
          <w:spacing w:val="0"/>
          <w:position w:val="0"/>
          <w:sz w:val="24"/>
          <w:szCs w:val="24"/>
          <w:lang w:val="tr-TR"/>
        </w:rPr>
        <w:t>absorbe</w:t>
      </w:r>
      <w:proofErr w:type="spellEnd"/>
      <w:r w:rsidRPr="00A763C5">
        <w:rPr>
          <w:rFonts w:ascii="Times New Roman" w:hAnsi="Times New Roman"/>
          <w:spacing w:val="0"/>
          <w:position w:val="0"/>
          <w:sz w:val="24"/>
          <w:szCs w:val="24"/>
          <w:lang w:val="tr-TR"/>
        </w:rPr>
        <w:t xml:space="preserve"> edilmesine ve dolayısıyla,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etki başlangıcında bir gecikmeye neden olabilirler.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Metoklopramid gibi, gastrik boşalmanın hızlanmasına yol açan ilaçlar veya mide boşalmasını hızlandıran etkenler,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daha hızlı </w:t>
      </w:r>
      <w:proofErr w:type="spellStart"/>
      <w:r w:rsidRPr="00A763C5">
        <w:rPr>
          <w:rFonts w:ascii="Times New Roman" w:hAnsi="Times New Roman"/>
          <w:spacing w:val="0"/>
          <w:position w:val="0"/>
          <w:sz w:val="24"/>
          <w:szCs w:val="24"/>
          <w:lang w:val="tr-TR"/>
        </w:rPr>
        <w:t>absorbe</w:t>
      </w:r>
      <w:proofErr w:type="spellEnd"/>
      <w:r w:rsidRPr="00A763C5">
        <w:rPr>
          <w:rFonts w:ascii="Times New Roman" w:hAnsi="Times New Roman"/>
          <w:spacing w:val="0"/>
          <w:position w:val="0"/>
          <w:sz w:val="24"/>
          <w:szCs w:val="24"/>
          <w:lang w:val="tr-TR"/>
        </w:rPr>
        <w:t xml:space="preserve"> edilmesine ve dolayısıyla,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etki başlangıcında bir hızlanmaya neden olabilirler.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Bazı hipnotikler ve antiepileptik ilaçlar (glutetimid, fenobarbital, fenitoin, karbamazepin, vb.) veya rifampisin gibi, karaciğerde hepatik mikrozomal enzim indüksiyonuna sebep olan ilaçların, tek başına kullanıldığında zararsız olan parasetamol dozlarıyla bile eşzamanlı kullanılması, karaciğer hasarına yol açabilir. Aşırı alkol tüketimi halinde, terapötik dozlarda olsa bile parasetamol alınması da karaciğer hasarına neden olabilir.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kloramfenikol</w:t>
      </w:r>
      <w:proofErr w:type="spellEnd"/>
      <w:r w:rsidRPr="00A763C5">
        <w:rPr>
          <w:rFonts w:ascii="Times New Roman" w:hAnsi="Times New Roman"/>
          <w:spacing w:val="0"/>
          <w:position w:val="0"/>
          <w:sz w:val="24"/>
          <w:szCs w:val="24"/>
          <w:lang w:val="tr-TR"/>
        </w:rPr>
        <w:t xml:space="preserve"> ile kombinasyon halinde kullanılması, </w:t>
      </w:r>
      <w:proofErr w:type="spellStart"/>
      <w:r w:rsidRPr="00A763C5">
        <w:rPr>
          <w:rFonts w:ascii="Times New Roman" w:hAnsi="Times New Roman"/>
          <w:spacing w:val="0"/>
          <w:position w:val="0"/>
          <w:sz w:val="24"/>
          <w:szCs w:val="24"/>
          <w:lang w:val="tr-TR"/>
        </w:rPr>
        <w:t>kloramfenikolün</w:t>
      </w:r>
      <w:proofErr w:type="spellEnd"/>
      <w:r w:rsidRPr="00A763C5">
        <w:rPr>
          <w:rFonts w:ascii="Times New Roman" w:hAnsi="Times New Roman"/>
          <w:spacing w:val="0"/>
          <w:position w:val="0"/>
          <w:sz w:val="24"/>
          <w:szCs w:val="24"/>
          <w:lang w:val="tr-TR"/>
        </w:rPr>
        <w:t xml:space="preserve"> yarılanma ömrünü uzatabilir ve dolayısıyla, bu ilacın toksisite riskini artırabilir.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Parasetamol</w:t>
      </w:r>
      <w:proofErr w:type="spellEnd"/>
      <w:r w:rsidRPr="00A763C5">
        <w:rPr>
          <w:rFonts w:ascii="Times New Roman" w:hAnsi="Times New Roman"/>
          <w:spacing w:val="0"/>
          <w:position w:val="0"/>
          <w:sz w:val="24"/>
          <w:szCs w:val="24"/>
          <w:lang w:val="tr-TR"/>
        </w:rPr>
        <w:t xml:space="preserve"> (veya </w:t>
      </w:r>
      <w:proofErr w:type="spellStart"/>
      <w:r w:rsidRPr="00A763C5">
        <w:rPr>
          <w:rFonts w:ascii="Times New Roman" w:hAnsi="Times New Roman"/>
          <w:spacing w:val="0"/>
          <w:position w:val="0"/>
          <w:sz w:val="24"/>
          <w:szCs w:val="24"/>
          <w:lang w:val="tr-TR"/>
        </w:rPr>
        <w:t>metabolitleri</w:t>
      </w:r>
      <w:proofErr w:type="spellEnd"/>
      <w:r w:rsidRPr="00A763C5">
        <w:rPr>
          <w:rFonts w:ascii="Times New Roman" w:hAnsi="Times New Roman"/>
          <w:spacing w:val="0"/>
          <w:position w:val="0"/>
          <w:sz w:val="24"/>
          <w:szCs w:val="24"/>
          <w:lang w:val="tr-TR"/>
        </w:rPr>
        <w:t xml:space="preserve">), K vitamini-bağımlı </w:t>
      </w:r>
      <w:proofErr w:type="spellStart"/>
      <w:r w:rsidRPr="00A763C5">
        <w:rPr>
          <w:rFonts w:ascii="Times New Roman" w:hAnsi="Times New Roman"/>
          <w:spacing w:val="0"/>
          <w:position w:val="0"/>
          <w:sz w:val="24"/>
          <w:szCs w:val="24"/>
          <w:lang w:val="tr-TR"/>
        </w:rPr>
        <w:t>koagülasyon</w:t>
      </w:r>
      <w:proofErr w:type="spellEnd"/>
      <w:r w:rsidRPr="00A763C5">
        <w:rPr>
          <w:rFonts w:ascii="Times New Roman" w:hAnsi="Times New Roman"/>
          <w:spacing w:val="0"/>
          <w:position w:val="0"/>
          <w:sz w:val="24"/>
          <w:szCs w:val="24"/>
          <w:lang w:val="tr-TR"/>
        </w:rPr>
        <w:t xml:space="preserve"> faktörü sentezinde rol oynayan enzimler ile olumsuz yönde ile etkileşebilir. Parasetamol ile varfarin veya kumarin türevleri arasındaki etkileşimler, Uluslararası normalleştirilmiş (International Normalized </w:t>
      </w:r>
      <w:r w:rsidRPr="00A763C5">
        <w:rPr>
          <w:rFonts w:ascii="Times New Roman" w:hAnsi="Times New Roman"/>
          <w:spacing w:val="0"/>
          <w:position w:val="0"/>
          <w:sz w:val="24"/>
          <w:szCs w:val="24"/>
          <w:lang w:val="tr-TR"/>
        </w:rPr>
        <w:lastRenderedPageBreak/>
        <w:t xml:space="preserve">Ratio, INR) değerde bir artışa ve kanama riskinde bir artışa neden olabilir. Bundan dolayı, oral </w:t>
      </w:r>
      <w:proofErr w:type="spellStart"/>
      <w:r w:rsidRPr="00A763C5">
        <w:rPr>
          <w:rFonts w:ascii="Times New Roman" w:hAnsi="Times New Roman"/>
          <w:spacing w:val="0"/>
          <w:position w:val="0"/>
          <w:sz w:val="24"/>
          <w:szCs w:val="24"/>
          <w:lang w:val="tr-TR"/>
        </w:rPr>
        <w:t>antikoagulan</w:t>
      </w:r>
      <w:proofErr w:type="spellEnd"/>
      <w:r w:rsidRPr="00A763C5">
        <w:rPr>
          <w:rFonts w:ascii="Times New Roman" w:hAnsi="Times New Roman"/>
          <w:spacing w:val="0"/>
          <w:position w:val="0"/>
          <w:sz w:val="24"/>
          <w:szCs w:val="24"/>
          <w:lang w:val="tr-TR"/>
        </w:rPr>
        <w:t xml:space="preserve"> kullanan hastalar, </w:t>
      </w:r>
      <w:proofErr w:type="spellStart"/>
      <w:r w:rsidRPr="00A763C5">
        <w:rPr>
          <w:rFonts w:ascii="Times New Roman" w:hAnsi="Times New Roman"/>
          <w:spacing w:val="0"/>
          <w:position w:val="0"/>
          <w:sz w:val="24"/>
          <w:szCs w:val="24"/>
          <w:lang w:val="tr-TR"/>
        </w:rPr>
        <w:t>parasetamolü</w:t>
      </w:r>
      <w:proofErr w:type="spellEnd"/>
      <w:r w:rsidRPr="00A763C5">
        <w:rPr>
          <w:rFonts w:ascii="Times New Roman" w:hAnsi="Times New Roman"/>
          <w:spacing w:val="0"/>
          <w:position w:val="0"/>
          <w:sz w:val="24"/>
          <w:szCs w:val="24"/>
          <w:lang w:val="tr-TR"/>
        </w:rPr>
        <w:t xml:space="preserve"> tıbbi denetim ve kontrol olmadan uzun süreli kullanmamalıdır.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5-hidroksitriptamin serotonin tip 3 reseptör antagonistleri olan tropisetron ve granisetron, farmakodinamik etkileşim yoluyla,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analjezik etkisini tamamen inhibe edebilirler.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Parasetamol ve azidotimidin (AZT - zidovudin)</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in eşzamanlı kullanılması, akyuvar hücresi sayısında azalmaya (nötropeni) yönelik eğilimini artırır. Bundan ötürü, tıbbi tavsiye olmadıkça, parasetamol AZT ile birlikte alınmamalıdır.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Birden fazla ağrı kesiciyle kombinasyon tedavisinden kaçınılması önerilmektedir. Bunun hastaya ekstra bir fayda sağladığını gösteren çok az kanıt vardır ve genelde istenmeyen etkilerde artışa sebebiyet vermektedir.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St. </w:t>
      </w:r>
      <w:proofErr w:type="spellStart"/>
      <w:r w:rsidRPr="00A763C5">
        <w:rPr>
          <w:rFonts w:ascii="Times New Roman" w:hAnsi="Times New Roman"/>
          <w:spacing w:val="0"/>
          <w:position w:val="0"/>
          <w:sz w:val="24"/>
          <w:szCs w:val="24"/>
          <w:lang w:val="tr-TR"/>
        </w:rPr>
        <w:t>John</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s</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Wort</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i/>
          <w:iCs/>
          <w:spacing w:val="0"/>
          <w:position w:val="0"/>
          <w:sz w:val="24"/>
          <w:szCs w:val="24"/>
          <w:lang w:val="tr-TR"/>
        </w:rPr>
        <w:t>Hypericum</w:t>
      </w:r>
      <w:proofErr w:type="spellEnd"/>
      <w:r w:rsidRPr="00A763C5">
        <w:rPr>
          <w:rFonts w:ascii="Times New Roman" w:hAnsi="Times New Roman"/>
          <w:i/>
          <w:iCs/>
          <w:spacing w:val="0"/>
          <w:position w:val="0"/>
          <w:sz w:val="24"/>
          <w:szCs w:val="24"/>
          <w:lang w:val="tr-TR"/>
        </w:rPr>
        <w:t xml:space="preserve"> </w:t>
      </w:r>
      <w:proofErr w:type="spellStart"/>
      <w:r w:rsidRPr="00A763C5">
        <w:rPr>
          <w:rFonts w:ascii="Times New Roman" w:hAnsi="Times New Roman"/>
          <w:i/>
          <w:iCs/>
          <w:spacing w:val="0"/>
          <w:position w:val="0"/>
          <w:sz w:val="24"/>
          <w:szCs w:val="24"/>
          <w:lang w:val="tr-TR"/>
        </w:rPr>
        <w:t>perforatum</w:t>
      </w:r>
      <w:proofErr w:type="spellEnd"/>
      <w:r w:rsidRPr="00A763C5">
        <w:rPr>
          <w:rFonts w:ascii="Times New Roman" w:hAnsi="Times New Roman"/>
          <w:i/>
          <w:iCs/>
          <w:spacing w:val="0"/>
          <w:position w:val="0"/>
          <w:sz w:val="24"/>
          <w:szCs w:val="24"/>
          <w:lang w:val="tr-TR"/>
        </w:rPr>
        <w:t xml:space="preserve"> –</w:t>
      </w:r>
      <w:r w:rsidRPr="00A763C5">
        <w:rPr>
          <w:rFonts w:ascii="Times New Roman" w:hAnsi="Times New Roman"/>
          <w:spacing w:val="0"/>
          <w:position w:val="0"/>
          <w:sz w:val="24"/>
          <w:szCs w:val="24"/>
          <w:lang w:val="tr-TR"/>
        </w:rPr>
        <w:t xml:space="preserve">sarı kantaron)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kan düzeylerini azaltabilir.</w:t>
      </w:r>
    </w:p>
    <w:p w:rsidR="00BD517E" w:rsidRPr="00A763C5" w:rsidRDefault="00BD517E" w:rsidP="00250803">
      <w:pPr>
        <w:spacing w:line="276" w:lineRule="auto"/>
        <w:jc w:val="both"/>
        <w:rPr>
          <w:rFonts w:ascii="Times New Roman" w:hAnsi="Times New Roman"/>
          <w:spacing w:val="0"/>
          <w:position w:val="0"/>
          <w:sz w:val="24"/>
          <w:szCs w:val="24"/>
          <w:lang w:val="tr-TR"/>
        </w:rPr>
      </w:pPr>
    </w:p>
    <w:p w:rsidR="00BD517E" w:rsidRPr="00A763C5" w:rsidRDefault="00BD517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Besinler ile birlikte alındığında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absorbsiyon</w:t>
      </w:r>
      <w:proofErr w:type="spellEnd"/>
      <w:r w:rsidRPr="00A763C5">
        <w:rPr>
          <w:rFonts w:ascii="Times New Roman" w:hAnsi="Times New Roman"/>
          <w:spacing w:val="0"/>
          <w:position w:val="0"/>
          <w:sz w:val="24"/>
          <w:szCs w:val="24"/>
          <w:lang w:val="tr-TR"/>
        </w:rPr>
        <w:t xml:space="preserve"> hızı azalabilir.</w:t>
      </w:r>
    </w:p>
    <w:p w:rsidR="0044256C" w:rsidRPr="00A763C5" w:rsidRDefault="0044256C" w:rsidP="00250803">
      <w:pPr>
        <w:spacing w:line="276" w:lineRule="auto"/>
        <w:jc w:val="both"/>
        <w:rPr>
          <w:rFonts w:ascii="Times New Roman" w:hAnsi="Times New Roman"/>
          <w:b/>
          <w:spacing w:val="0"/>
          <w:position w:val="0"/>
          <w:sz w:val="24"/>
          <w:szCs w:val="24"/>
          <w:lang w:val="tr-TR"/>
        </w:rPr>
      </w:pPr>
    </w:p>
    <w:p w:rsidR="00073968" w:rsidRPr="00A763C5" w:rsidRDefault="00073968"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spacing w:val="0"/>
          <w:position w:val="0"/>
          <w:sz w:val="24"/>
          <w:szCs w:val="24"/>
          <w:lang w:val="tr-TR"/>
        </w:rPr>
        <w:t>4.6</w:t>
      </w:r>
      <w:r w:rsidR="001C3E39"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Gebelik ve </w:t>
      </w:r>
      <w:r w:rsidR="00FB0010" w:rsidRPr="00A763C5">
        <w:rPr>
          <w:rFonts w:ascii="Times New Roman" w:hAnsi="Times New Roman"/>
          <w:b/>
          <w:spacing w:val="0"/>
          <w:position w:val="0"/>
          <w:sz w:val="24"/>
          <w:szCs w:val="24"/>
          <w:lang w:val="tr-TR"/>
        </w:rPr>
        <w:t>l</w:t>
      </w:r>
      <w:r w:rsidRPr="00A763C5">
        <w:rPr>
          <w:rFonts w:ascii="Times New Roman" w:hAnsi="Times New Roman"/>
          <w:b/>
          <w:spacing w:val="0"/>
          <w:position w:val="0"/>
          <w:sz w:val="24"/>
          <w:szCs w:val="24"/>
          <w:lang w:val="tr-TR"/>
        </w:rPr>
        <w:t>aktasyon</w:t>
      </w:r>
    </w:p>
    <w:p w:rsidR="00B00F40" w:rsidRPr="00A763C5" w:rsidRDefault="00B00F40"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 xml:space="preserve">Genel </w:t>
      </w:r>
      <w:r w:rsidR="00FB0010" w:rsidRPr="00A763C5">
        <w:rPr>
          <w:rFonts w:ascii="Times New Roman" w:hAnsi="Times New Roman"/>
          <w:b/>
          <w:spacing w:val="0"/>
          <w:position w:val="0"/>
          <w:sz w:val="24"/>
          <w:szCs w:val="24"/>
          <w:lang w:val="tr-TR"/>
        </w:rPr>
        <w:t>t</w:t>
      </w:r>
      <w:r w:rsidRPr="00A763C5">
        <w:rPr>
          <w:rFonts w:ascii="Times New Roman" w:hAnsi="Times New Roman"/>
          <w:b/>
          <w:spacing w:val="0"/>
          <w:position w:val="0"/>
          <w:sz w:val="24"/>
          <w:szCs w:val="24"/>
          <w:lang w:val="tr-TR"/>
        </w:rPr>
        <w:t>avsiye</w:t>
      </w:r>
    </w:p>
    <w:p w:rsidR="00E57785" w:rsidRPr="00A763C5" w:rsidRDefault="002F1127"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spacing w:val="0"/>
          <w:position w:val="0"/>
          <w:sz w:val="24"/>
          <w:szCs w:val="24"/>
          <w:lang w:val="tr-TR"/>
        </w:rPr>
        <w:t xml:space="preserve">Gebelik </w:t>
      </w:r>
      <w:r w:rsidR="00FB0010" w:rsidRPr="00A763C5">
        <w:rPr>
          <w:rFonts w:ascii="Times New Roman" w:hAnsi="Times New Roman"/>
          <w:spacing w:val="0"/>
          <w:position w:val="0"/>
          <w:sz w:val="24"/>
          <w:szCs w:val="24"/>
          <w:lang w:val="tr-TR"/>
        </w:rPr>
        <w:t>k</w:t>
      </w:r>
      <w:r w:rsidRPr="00A763C5">
        <w:rPr>
          <w:rFonts w:ascii="Times New Roman" w:hAnsi="Times New Roman"/>
          <w:spacing w:val="0"/>
          <w:position w:val="0"/>
          <w:sz w:val="24"/>
          <w:szCs w:val="24"/>
          <w:lang w:val="tr-TR"/>
        </w:rPr>
        <w:t xml:space="preserve">ategorisi </w:t>
      </w:r>
      <w:proofErr w:type="spellStart"/>
      <w:r w:rsidR="00FB0010" w:rsidRPr="00A763C5">
        <w:rPr>
          <w:rFonts w:ascii="Times New Roman" w:hAnsi="Times New Roman"/>
          <w:spacing w:val="0"/>
          <w:position w:val="0"/>
          <w:sz w:val="24"/>
          <w:szCs w:val="24"/>
          <w:lang w:val="tr-TR"/>
        </w:rPr>
        <w:t>B</w:t>
      </w:r>
      <w:r w:rsidR="00672172" w:rsidRPr="00A763C5">
        <w:rPr>
          <w:rFonts w:ascii="Times New Roman" w:hAnsi="Times New Roman"/>
          <w:spacing w:val="0"/>
          <w:position w:val="0"/>
          <w:sz w:val="24"/>
          <w:szCs w:val="24"/>
          <w:lang w:val="tr-TR"/>
        </w:rPr>
        <w:t>’</w:t>
      </w:r>
      <w:r w:rsidR="00FB0010" w:rsidRPr="00A763C5">
        <w:rPr>
          <w:rFonts w:ascii="Times New Roman" w:hAnsi="Times New Roman"/>
          <w:spacing w:val="0"/>
          <w:position w:val="0"/>
          <w:sz w:val="24"/>
          <w:szCs w:val="24"/>
          <w:lang w:val="tr-TR"/>
        </w:rPr>
        <w:t>dir</w:t>
      </w:r>
      <w:proofErr w:type="spellEnd"/>
      <w:r w:rsidR="00FB0010" w:rsidRPr="00A763C5">
        <w:rPr>
          <w:rFonts w:ascii="Times New Roman" w:hAnsi="Times New Roman"/>
          <w:spacing w:val="0"/>
          <w:position w:val="0"/>
          <w:sz w:val="24"/>
          <w:szCs w:val="24"/>
          <w:lang w:val="tr-TR"/>
        </w:rPr>
        <w:t>.</w:t>
      </w:r>
    </w:p>
    <w:p w:rsidR="00FB0010" w:rsidRPr="00A763C5" w:rsidRDefault="00FB0010" w:rsidP="00250803">
      <w:pPr>
        <w:spacing w:line="276" w:lineRule="auto"/>
        <w:jc w:val="both"/>
        <w:rPr>
          <w:rFonts w:ascii="Times New Roman" w:hAnsi="Times New Roman"/>
          <w:spacing w:val="0"/>
          <w:position w:val="0"/>
          <w:sz w:val="24"/>
          <w:szCs w:val="24"/>
          <w:lang w:val="tr-TR"/>
        </w:rPr>
      </w:pPr>
    </w:p>
    <w:p w:rsidR="00446A41" w:rsidRPr="00A763C5" w:rsidRDefault="00446A41"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Çocuk doğurma potansiy</w:t>
      </w:r>
      <w:r w:rsidR="00FB0010" w:rsidRPr="00A763C5">
        <w:rPr>
          <w:rFonts w:ascii="Times New Roman" w:hAnsi="Times New Roman"/>
          <w:b/>
          <w:spacing w:val="0"/>
          <w:position w:val="0"/>
          <w:sz w:val="24"/>
          <w:szCs w:val="24"/>
          <w:lang w:val="tr-TR"/>
        </w:rPr>
        <w:t>e</w:t>
      </w:r>
      <w:r w:rsidRPr="00A763C5">
        <w:rPr>
          <w:rFonts w:ascii="Times New Roman" w:hAnsi="Times New Roman"/>
          <w:b/>
          <w:spacing w:val="0"/>
          <w:position w:val="0"/>
          <w:sz w:val="24"/>
          <w:szCs w:val="24"/>
          <w:lang w:val="tr-TR"/>
        </w:rPr>
        <w:t>li bulunan kadınlar / Doğum kontrolü (Kontrasepsiyon)</w:t>
      </w:r>
    </w:p>
    <w:p w:rsidR="00FB0010" w:rsidRPr="00A763C5" w:rsidRDefault="00FB001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Çok sayıda gebelikte maruz kalma olgularına ilişkin veriler,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gebelik üzerinde ya da fetüsün /yeni doğan çocuğun sağlığı üzerinde istenmeyen etkileri olduğunu göstermemektedir. Bugüne kadar herhangi önemli bir epidemiyolojik veri elde edilmemiştir. Yine de gebe kadınlara verilirken tedbirli olunmalıdır.</w:t>
      </w:r>
    </w:p>
    <w:p w:rsidR="00FB0010" w:rsidRPr="00A763C5" w:rsidRDefault="00FB0010" w:rsidP="00250803">
      <w:pPr>
        <w:spacing w:line="276" w:lineRule="auto"/>
        <w:jc w:val="both"/>
        <w:rPr>
          <w:rFonts w:ascii="Times New Roman" w:hAnsi="Times New Roman"/>
          <w:spacing w:val="0"/>
          <w:position w:val="0"/>
          <w:sz w:val="24"/>
          <w:szCs w:val="24"/>
          <w:lang w:val="tr-TR"/>
        </w:rPr>
      </w:pPr>
    </w:p>
    <w:p w:rsidR="00FB0010" w:rsidRPr="00A763C5" w:rsidRDefault="00FB001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Gebelik dönemi</w:t>
      </w:r>
    </w:p>
    <w:p w:rsidR="00FB0010" w:rsidRPr="00A763C5" w:rsidRDefault="00FB0010"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terapötik</w:t>
      </w:r>
      <w:proofErr w:type="spellEnd"/>
      <w:r w:rsidRPr="00A763C5">
        <w:rPr>
          <w:rFonts w:ascii="Times New Roman" w:hAnsi="Times New Roman"/>
          <w:spacing w:val="0"/>
          <w:position w:val="0"/>
          <w:sz w:val="24"/>
          <w:szCs w:val="24"/>
          <w:lang w:val="tr-TR"/>
        </w:rPr>
        <w:t xml:space="preserve"> kullanımı hakkında yapılan epidemiyolojik çalışmalardan elde edilen veriler, bu ilacın gebelik veya fetal / neonatal gelişme üzerinde olası istenmeyen etkileri konusunda önemli bir endişeye yol açmamaktadır. Gebelikte doz aşımı konusunda toplanan prospektif veriler de malformasyon riskinde bir artış göstermemiştir.</w:t>
      </w:r>
    </w:p>
    <w:p w:rsidR="00FB0010" w:rsidRPr="00A763C5" w:rsidRDefault="00FB001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Ancak, gebelik döneminde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uzun bir süreyle, yüksek dozlarda ya da başka ilaçlarla kombinasyon halinde kullanılması tavsiye edilmemektedir. Bu tür durumlarda güvenli kullanılabileceği teyit edilmemiştir.</w:t>
      </w:r>
    </w:p>
    <w:p w:rsidR="00FB0010" w:rsidRPr="00A763C5" w:rsidRDefault="00FB001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Parasetamol, gebelik döneminde yalnızca doktor tavsiyesi ile ve ilacın risk/fayda oranı göz önüne alınarak kullanılmalıdır.</w:t>
      </w:r>
    </w:p>
    <w:p w:rsidR="00FB0010" w:rsidRPr="00A763C5" w:rsidRDefault="00FB0010" w:rsidP="00250803">
      <w:pPr>
        <w:spacing w:line="276" w:lineRule="auto"/>
        <w:jc w:val="both"/>
        <w:rPr>
          <w:rFonts w:ascii="Times New Roman" w:hAnsi="Times New Roman"/>
          <w:spacing w:val="0"/>
          <w:position w:val="0"/>
          <w:sz w:val="24"/>
          <w:szCs w:val="24"/>
          <w:lang w:val="tr-TR"/>
        </w:rPr>
      </w:pPr>
    </w:p>
    <w:p w:rsidR="00672172" w:rsidRPr="00A763C5" w:rsidRDefault="00672172" w:rsidP="00250803">
      <w:pPr>
        <w:spacing w:line="276" w:lineRule="auto"/>
        <w:jc w:val="both"/>
        <w:rPr>
          <w:rFonts w:ascii="Times New Roman" w:hAnsi="Times New Roman"/>
          <w:spacing w:val="0"/>
          <w:position w:val="0"/>
          <w:sz w:val="24"/>
          <w:szCs w:val="24"/>
          <w:lang w:val="tr-TR"/>
        </w:rPr>
      </w:pPr>
    </w:p>
    <w:p w:rsidR="00672172" w:rsidRPr="00A763C5" w:rsidRDefault="00672172" w:rsidP="00250803">
      <w:pPr>
        <w:spacing w:line="276" w:lineRule="auto"/>
        <w:jc w:val="both"/>
        <w:rPr>
          <w:rFonts w:ascii="Times New Roman" w:hAnsi="Times New Roman"/>
          <w:spacing w:val="0"/>
          <w:position w:val="0"/>
          <w:sz w:val="24"/>
          <w:szCs w:val="24"/>
          <w:lang w:val="tr-TR"/>
        </w:rPr>
      </w:pPr>
    </w:p>
    <w:p w:rsidR="00FB0010" w:rsidRPr="00A763C5" w:rsidRDefault="00FB001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lastRenderedPageBreak/>
        <w:t>Laktasyon dönemi</w:t>
      </w:r>
    </w:p>
    <w:p w:rsidR="00FB0010" w:rsidRPr="00A763C5" w:rsidRDefault="00FB001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Parasetamol, anne sütüne az miktarda geçmektedir. Bu zamana dek herhangi bir istenmeyen etkisi gözlemlenmemiş olmasına rağmen, emzirme döneminde sadece doktor tavsiyesiyle kullanılmalıdır.</w:t>
      </w:r>
    </w:p>
    <w:p w:rsidR="00672172" w:rsidRPr="00A763C5" w:rsidRDefault="00672172" w:rsidP="00250803">
      <w:pPr>
        <w:spacing w:line="276" w:lineRule="auto"/>
        <w:jc w:val="both"/>
        <w:rPr>
          <w:rFonts w:ascii="Times New Roman" w:hAnsi="Times New Roman"/>
          <w:b/>
          <w:bCs/>
          <w:spacing w:val="0"/>
          <w:position w:val="0"/>
          <w:sz w:val="24"/>
          <w:szCs w:val="24"/>
          <w:lang w:val="tr-TR"/>
        </w:rPr>
      </w:pPr>
    </w:p>
    <w:p w:rsidR="00FB0010" w:rsidRPr="00A763C5" w:rsidRDefault="00FB001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Üreme yetene</w:t>
      </w:r>
      <w:r w:rsidRPr="00A763C5">
        <w:rPr>
          <w:rFonts w:ascii="Times New Roman" w:hAnsi="Times New Roman"/>
          <w:b/>
          <w:spacing w:val="0"/>
          <w:position w:val="0"/>
          <w:sz w:val="24"/>
          <w:szCs w:val="24"/>
          <w:lang w:val="tr-TR"/>
        </w:rPr>
        <w:t>ğ</w:t>
      </w:r>
      <w:r w:rsidRPr="00A763C5">
        <w:rPr>
          <w:rFonts w:ascii="Times New Roman" w:hAnsi="Times New Roman"/>
          <w:b/>
          <w:bCs/>
          <w:spacing w:val="0"/>
          <w:position w:val="0"/>
          <w:sz w:val="24"/>
          <w:szCs w:val="24"/>
          <w:lang w:val="tr-TR"/>
        </w:rPr>
        <w:t>i/ Fertilite</w:t>
      </w:r>
    </w:p>
    <w:p w:rsidR="00FB0010" w:rsidRPr="00A763C5" w:rsidRDefault="00FB0010"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oral kullanımı hakkında yapılan üreme çalışmalarından derlenen verilerde,</w:t>
      </w:r>
      <w:r w:rsidR="001C3E39"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herhangi bir </w:t>
      </w:r>
      <w:proofErr w:type="spellStart"/>
      <w:r w:rsidRPr="00A763C5">
        <w:rPr>
          <w:rFonts w:ascii="Times New Roman" w:hAnsi="Times New Roman"/>
          <w:spacing w:val="0"/>
          <w:position w:val="0"/>
          <w:sz w:val="24"/>
          <w:szCs w:val="24"/>
          <w:lang w:val="tr-TR"/>
        </w:rPr>
        <w:t>malformasyon</w:t>
      </w:r>
      <w:proofErr w:type="spellEnd"/>
      <w:r w:rsidRPr="00A763C5">
        <w:rPr>
          <w:rFonts w:ascii="Times New Roman" w:hAnsi="Times New Roman"/>
          <w:spacing w:val="0"/>
          <w:position w:val="0"/>
          <w:sz w:val="24"/>
          <w:szCs w:val="24"/>
          <w:lang w:val="tr-TR"/>
        </w:rPr>
        <w:t xml:space="preserve"> veya </w:t>
      </w:r>
      <w:proofErr w:type="spellStart"/>
      <w:r w:rsidRPr="00A763C5">
        <w:rPr>
          <w:rFonts w:ascii="Times New Roman" w:hAnsi="Times New Roman"/>
          <w:spacing w:val="0"/>
          <w:position w:val="0"/>
          <w:sz w:val="24"/>
          <w:szCs w:val="24"/>
          <w:lang w:val="tr-TR"/>
        </w:rPr>
        <w:t>fetotoksisite</w:t>
      </w:r>
      <w:proofErr w:type="spellEnd"/>
      <w:r w:rsidRPr="00A763C5">
        <w:rPr>
          <w:rFonts w:ascii="Times New Roman" w:hAnsi="Times New Roman"/>
          <w:spacing w:val="0"/>
          <w:position w:val="0"/>
          <w:sz w:val="24"/>
          <w:szCs w:val="24"/>
          <w:lang w:val="tr-TR"/>
        </w:rPr>
        <w:t xml:space="preserve"> bulgusu tespit edilmemiştir.</w:t>
      </w:r>
    </w:p>
    <w:p w:rsidR="00FB0010" w:rsidRPr="00A763C5" w:rsidRDefault="00FB001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Hayvanlarda yapılan kronik </w:t>
      </w:r>
      <w:proofErr w:type="spellStart"/>
      <w:r w:rsidRPr="00A763C5">
        <w:rPr>
          <w:rFonts w:ascii="Times New Roman" w:hAnsi="Times New Roman"/>
          <w:spacing w:val="0"/>
          <w:position w:val="0"/>
          <w:sz w:val="24"/>
          <w:szCs w:val="24"/>
          <w:lang w:val="tr-TR"/>
        </w:rPr>
        <w:t>toksisite</w:t>
      </w:r>
      <w:proofErr w:type="spellEnd"/>
      <w:r w:rsidRPr="00A763C5">
        <w:rPr>
          <w:rFonts w:ascii="Times New Roman" w:hAnsi="Times New Roman"/>
          <w:spacing w:val="0"/>
          <w:position w:val="0"/>
          <w:sz w:val="24"/>
          <w:szCs w:val="24"/>
          <w:lang w:val="tr-TR"/>
        </w:rPr>
        <w:t xml:space="preserve"> araştırmalarında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testiküler</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atrofiye</w:t>
      </w:r>
      <w:proofErr w:type="spellEnd"/>
      <w:r w:rsidR="001C3E39"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neden olduğu ve spermatogenezi inhibe ettiği bildirilmiştir.</w:t>
      </w:r>
    </w:p>
    <w:p w:rsidR="00446A41" w:rsidRPr="00A763C5" w:rsidRDefault="00446A41" w:rsidP="00250803">
      <w:pPr>
        <w:spacing w:line="276" w:lineRule="auto"/>
        <w:jc w:val="both"/>
        <w:rPr>
          <w:rFonts w:ascii="Times New Roman" w:hAnsi="Times New Roman"/>
          <w:spacing w:val="0"/>
          <w:position w:val="0"/>
          <w:sz w:val="24"/>
          <w:szCs w:val="24"/>
          <w:lang w:val="tr-TR"/>
        </w:rPr>
      </w:pPr>
    </w:p>
    <w:p w:rsidR="00073968" w:rsidRPr="00A763C5" w:rsidRDefault="00073968" w:rsidP="00250803">
      <w:pPr>
        <w:tabs>
          <w:tab w:val="left" w:pos="1200"/>
        </w:tabs>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4.7</w:t>
      </w:r>
      <w:r w:rsidR="001C3E39"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Araç ve </w:t>
      </w:r>
      <w:r w:rsidR="001C3E39" w:rsidRPr="00A763C5">
        <w:rPr>
          <w:rFonts w:ascii="Times New Roman" w:hAnsi="Times New Roman"/>
          <w:b/>
          <w:spacing w:val="0"/>
          <w:position w:val="0"/>
          <w:sz w:val="24"/>
          <w:szCs w:val="24"/>
          <w:lang w:val="tr-TR"/>
        </w:rPr>
        <w:t>m</w:t>
      </w:r>
      <w:r w:rsidRPr="00A763C5">
        <w:rPr>
          <w:rFonts w:ascii="Times New Roman" w:hAnsi="Times New Roman"/>
          <w:b/>
          <w:spacing w:val="0"/>
          <w:position w:val="0"/>
          <w:sz w:val="24"/>
          <w:szCs w:val="24"/>
          <w:lang w:val="tr-TR"/>
        </w:rPr>
        <w:t xml:space="preserve">akine </w:t>
      </w:r>
      <w:r w:rsidR="001C3E39" w:rsidRPr="00A763C5">
        <w:rPr>
          <w:rFonts w:ascii="Times New Roman" w:hAnsi="Times New Roman"/>
          <w:b/>
          <w:spacing w:val="0"/>
          <w:position w:val="0"/>
          <w:sz w:val="24"/>
          <w:szCs w:val="24"/>
          <w:lang w:val="tr-TR"/>
        </w:rPr>
        <w:t>k</w:t>
      </w:r>
      <w:r w:rsidRPr="00A763C5">
        <w:rPr>
          <w:rFonts w:ascii="Times New Roman" w:hAnsi="Times New Roman"/>
          <w:b/>
          <w:spacing w:val="0"/>
          <w:position w:val="0"/>
          <w:sz w:val="24"/>
          <w:szCs w:val="24"/>
          <w:lang w:val="tr-TR"/>
        </w:rPr>
        <w:t>ullan</w:t>
      </w:r>
      <w:r w:rsidR="00ED07F9" w:rsidRPr="00A763C5">
        <w:rPr>
          <w:rFonts w:ascii="Times New Roman" w:hAnsi="Times New Roman"/>
          <w:b/>
          <w:spacing w:val="0"/>
          <w:position w:val="0"/>
          <w:sz w:val="24"/>
          <w:szCs w:val="24"/>
          <w:lang w:val="tr-TR"/>
        </w:rPr>
        <w:t>ımı</w:t>
      </w:r>
      <w:r w:rsidRPr="00A763C5">
        <w:rPr>
          <w:rFonts w:ascii="Times New Roman" w:hAnsi="Times New Roman"/>
          <w:b/>
          <w:spacing w:val="0"/>
          <w:position w:val="0"/>
          <w:sz w:val="24"/>
          <w:szCs w:val="24"/>
          <w:lang w:val="tr-TR"/>
        </w:rPr>
        <w:t xml:space="preserve"> </w:t>
      </w:r>
      <w:r w:rsidR="001C3E39" w:rsidRPr="00A763C5">
        <w:rPr>
          <w:rFonts w:ascii="Times New Roman" w:hAnsi="Times New Roman"/>
          <w:b/>
          <w:spacing w:val="0"/>
          <w:position w:val="0"/>
          <w:sz w:val="24"/>
          <w:szCs w:val="24"/>
          <w:lang w:val="tr-TR"/>
        </w:rPr>
        <w:t>ü</w:t>
      </w:r>
      <w:r w:rsidRPr="00A763C5">
        <w:rPr>
          <w:rFonts w:ascii="Times New Roman" w:hAnsi="Times New Roman"/>
          <w:b/>
          <w:spacing w:val="0"/>
          <w:position w:val="0"/>
          <w:sz w:val="24"/>
          <w:szCs w:val="24"/>
          <w:lang w:val="tr-TR"/>
        </w:rPr>
        <w:t xml:space="preserve">zerindeki </w:t>
      </w:r>
      <w:r w:rsidR="001C3E39" w:rsidRPr="00A763C5">
        <w:rPr>
          <w:rFonts w:ascii="Times New Roman" w:hAnsi="Times New Roman"/>
          <w:b/>
          <w:spacing w:val="0"/>
          <w:position w:val="0"/>
          <w:sz w:val="24"/>
          <w:szCs w:val="24"/>
          <w:lang w:val="tr-TR"/>
        </w:rPr>
        <w:t>e</w:t>
      </w:r>
      <w:r w:rsidRPr="00A763C5">
        <w:rPr>
          <w:rFonts w:ascii="Times New Roman" w:hAnsi="Times New Roman"/>
          <w:b/>
          <w:spacing w:val="0"/>
          <w:position w:val="0"/>
          <w:sz w:val="24"/>
          <w:szCs w:val="24"/>
          <w:lang w:val="tr-TR"/>
        </w:rPr>
        <w:t>tkiler</w:t>
      </w:r>
    </w:p>
    <w:p w:rsidR="002F1127" w:rsidRPr="00A763C5" w:rsidRDefault="001C3E39" w:rsidP="00250803">
      <w:pPr>
        <w:widowControl w:val="0"/>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Bazı hastalarda parasetamol kullanımına bağlı olarak baş dönmesi veya somnolans görülebilir. Parasetamol kullanan hastaların uyanık kalmalarını gerektiren faaliyetler esnasında dikkatli olmaları gerekmektedir.</w:t>
      </w:r>
    </w:p>
    <w:p w:rsidR="004C0FB3" w:rsidRPr="00A763C5" w:rsidRDefault="004C0FB3" w:rsidP="00250803">
      <w:pPr>
        <w:tabs>
          <w:tab w:val="left" w:pos="1200"/>
        </w:tabs>
        <w:spacing w:line="276" w:lineRule="auto"/>
        <w:jc w:val="both"/>
        <w:rPr>
          <w:rFonts w:ascii="Times New Roman" w:hAnsi="Times New Roman"/>
          <w:spacing w:val="0"/>
          <w:position w:val="0"/>
          <w:sz w:val="24"/>
          <w:szCs w:val="24"/>
          <w:lang w:val="tr-TR"/>
        </w:rPr>
      </w:pPr>
    </w:p>
    <w:p w:rsidR="00073968" w:rsidRPr="00A763C5" w:rsidRDefault="00073968" w:rsidP="00250803">
      <w:pPr>
        <w:tabs>
          <w:tab w:val="left" w:pos="1200"/>
        </w:tabs>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4.8</w:t>
      </w:r>
      <w:r w:rsidR="009038FE"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İstenmeyen </w:t>
      </w:r>
      <w:r w:rsidR="00ED07F9" w:rsidRPr="00A763C5">
        <w:rPr>
          <w:rFonts w:ascii="Times New Roman" w:hAnsi="Times New Roman"/>
          <w:b/>
          <w:spacing w:val="0"/>
          <w:position w:val="0"/>
          <w:sz w:val="24"/>
          <w:szCs w:val="24"/>
          <w:lang w:val="tr-TR"/>
        </w:rPr>
        <w:t>e</w:t>
      </w:r>
      <w:r w:rsidRPr="00A763C5">
        <w:rPr>
          <w:rFonts w:ascii="Times New Roman" w:hAnsi="Times New Roman"/>
          <w:b/>
          <w:spacing w:val="0"/>
          <w:position w:val="0"/>
          <w:sz w:val="24"/>
          <w:szCs w:val="24"/>
          <w:lang w:val="tr-TR"/>
        </w:rPr>
        <w:t>tkiler</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Belirtilen bu istenmeyen etkiler spontan raporlara dayanmaktadır. Bu sebeple sıklık bilgisi verilmesi mümkün </w:t>
      </w:r>
      <w:r w:rsidR="001F497E" w:rsidRPr="00A763C5">
        <w:rPr>
          <w:rFonts w:ascii="Times New Roman" w:hAnsi="Times New Roman"/>
          <w:spacing w:val="0"/>
          <w:position w:val="0"/>
          <w:sz w:val="24"/>
          <w:szCs w:val="24"/>
          <w:lang w:val="tr-TR"/>
        </w:rPr>
        <w:t>olmamaktadır</w:t>
      </w:r>
      <w:r w:rsidRPr="00A763C5">
        <w:rPr>
          <w:rFonts w:ascii="Times New Roman" w:hAnsi="Times New Roman"/>
          <w:spacing w:val="0"/>
          <w:position w:val="0"/>
          <w:sz w:val="24"/>
          <w:szCs w:val="24"/>
          <w:lang w:val="tr-TR"/>
        </w:rPr>
        <w:t>.</w:t>
      </w:r>
    </w:p>
    <w:p w:rsidR="009038FE" w:rsidRPr="00A763C5" w:rsidRDefault="009038FE" w:rsidP="00250803">
      <w:pPr>
        <w:spacing w:line="276" w:lineRule="auto"/>
        <w:jc w:val="both"/>
        <w:rPr>
          <w:rFonts w:ascii="Times New Roman" w:hAnsi="Times New Roman"/>
          <w:spacing w:val="0"/>
          <w:position w:val="0"/>
          <w:sz w:val="24"/>
          <w:szCs w:val="24"/>
          <w:lang w:val="tr-TR"/>
        </w:rPr>
      </w:pP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Kan ve lenf sistemi hastalıkları:</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Trombositopeni, trombositopenik purpura, lökopeni ve pansitopeni gibi kan sayımı değişiklikleri.</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Bağışıklık sistemi hastalıkları:</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Alerjik reaksiyonlar, anafilaktik reaksiyon ve anafilaktik şok.</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Sinir sistemi hastalıkları:</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Baş dönmesi, somnolans.</w:t>
      </w:r>
    </w:p>
    <w:p w:rsidR="009038FE" w:rsidRPr="00A763C5" w:rsidRDefault="009038FE"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Solunum, göğüs hastalıkları ve mediastinal hastalıklar:</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Analjezik astım sendromu da dahil astım ve bronkospazm.</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 xml:space="preserve">Gastrointestinal </w:t>
      </w:r>
      <w:r w:rsidRPr="00A763C5">
        <w:rPr>
          <w:rFonts w:ascii="Times New Roman" w:hAnsi="Times New Roman"/>
          <w:b/>
          <w:spacing w:val="0"/>
          <w:position w:val="0"/>
          <w:sz w:val="24"/>
          <w:szCs w:val="24"/>
          <w:lang w:val="tr-TR"/>
        </w:rPr>
        <w:t>hastalıklar</w:t>
      </w:r>
      <w:r w:rsidRPr="00A763C5">
        <w:rPr>
          <w:rFonts w:ascii="Times New Roman" w:hAnsi="Times New Roman"/>
          <w:b/>
          <w:bCs/>
          <w:spacing w:val="0"/>
          <w:position w:val="0"/>
          <w:sz w:val="24"/>
          <w:szCs w:val="24"/>
          <w:lang w:val="tr-TR"/>
        </w:rPr>
        <w:t>:</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Mide bulantısı, kusma, mide rahatsızlıkları, diyare ve karın ağrısı.</w:t>
      </w:r>
    </w:p>
    <w:p w:rsidR="009038FE" w:rsidRPr="00A763C5" w:rsidRDefault="009038FE"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b/>
          <w:bCs/>
          <w:spacing w:val="0"/>
          <w:position w:val="0"/>
          <w:sz w:val="24"/>
          <w:szCs w:val="24"/>
          <w:lang w:val="tr-TR"/>
        </w:rPr>
        <w:t>Hepato</w:t>
      </w:r>
      <w:proofErr w:type="spellEnd"/>
      <w:r w:rsidRPr="00A763C5">
        <w:rPr>
          <w:rFonts w:ascii="Times New Roman" w:hAnsi="Times New Roman"/>
          <w:b/>
          <w:bCs/>
          <w:spacing w:val="0"/>
          <w:position w:val="0"/>
          <w:sz w:val="24"/>
          <w:szCs w:val="24"/>
          <w:lang w:val="tr-TR"/>
        </w:rPr>
        <w:t>-</w:t>
      </w:r>
      <w:proofErr w:type="spellStart"/>
      <w:r w:rsidRPr="00A763C5">
        <w:rPr>
          <w:rFonts w:ascii="Times New Roman" w:hAnsi="Times New Roman"/>
          <w:b/>
          <w:bCs/>
          <w:spacing w:val="0"/>
          <w:position w:val="0"/>
          <w:sz w:val="24"/>
          <w:szCs w:val="24"/>
          <w:lang w:val="tr-TR"/>
        </w:rPr>
        <w:t>biliyer</w:t>
      </w:r>
      <w:proofErr w:type="spellEnd"/>
      <w:r w:rsidRPr="00A763C5">
        <w:rPr>
          <w:rFonts w:ascii="Times New Roman" w:hAnsi="Times New Roman"/>
          <w:b/>
          <w:bCs/>
          <w:spacing w:val="0"/>
          <w:position w:val="0"/>
          <w:sz w:val="24"/>
          <w:szCs w:val="24"/>
          <w:lang w:val="tr-TR"/>
        </w:rPr>
        <w:t xml:space="preserve"> hastalıklar:</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Hepatik bozukluklar, hepatit ve aynı zamanda doza bağımlı hepatik yetmezlik, hepatik nekroz (fatal neticeler de dahil).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onaylanmamış kronik kullanımı, fatal neticeleri de olan </w:t>
      </w:r>
      <w:proofErr w:type="spellStart"/>
      <w:r w:rsidRPr="00A763C5">
        <w:rPr>
          <w:rFonts w:ascii="Times New Roman" w:hAnsi="Times New Roman"/>
          <w:spacing w:val="0"/>
          <w:position w:val="0"/>
          <w:sz w:val="24"/>
          <w:szCs w:val="24"/>
          <w:lang w:val="tr-TR"/>
        </w:rPr>
        <w:t>hepatik</w:t>
      </w:r>
      <w:proofErr w:type="spellEnd"/>
      <w:r w:rsidRPr="00A763C5">
        <w:rPr>
          <w:rFonts w:ascii="Times New Roman" w:hAnsi="Times New Roman"/>
          <w:spacing w:val="0"/>
          <w:position w:val="0"/>
          <w:sz w:val="24"/>
          <w:szCs w:val="24"/>
          <w:lang w:val="tr-TR"/>
        </w:rPr>
        <w:t xml:space="preserve"> siroza ve </w:t>
      </w:r>
      <w:proofErr w:type="spellStart"/>
      <w:r w:rsidRPr="00A763C5">
        <w:rPr>
          <w:rFonts w:ascii="Times New Roman" w:hAnsi="Times New Roman"/>
          <w:spacing w:val="0"/>
          <w:position w:val="0"/>
          <w:sz w:val="24"/>
          <w:szCs w:val="24"/>
          <w:lang w:val="tr-TR"/>
        </w:rPr>
        <w:t>hepatik</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fibroza</w:t>
      </w:r>
      <w:proofErr w:type="spellEnd"/>
      <w:r w:rsidRPr="00A763C5">
        <w:rPr>
          <w:rFonts w:ascii="Times New Roman" w:hAnsi="Times New Roman"/>
          <w:spacing w:val="0"/>
          <w:position w:val="0"/>
          <w:sz w:val="24"/>
          <w:szCs w:val="24"/>
          <w:lang w:val="tr-TR"/>
        </w:rPr>
        <w:t xml:space="preserve"> yol açabilir (bkz. Bölüm 4.4 ve 4.9).</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Deri ve deri altı doku hastalıkları:</w:t>
      </w:r>
    </w:p>
    <w:p w:rsidR="00250803" w:rsidRPr="00A763C5" w:rsidRDefault="0025080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Seyrek: Deri döküntüsü, kaşıntı, ürtiker, alerjik ödem ve anjiyoödem, akut generalize eksantematöz püstülozis, eritema multiform, Stevens-Johnson sendromu ve toksik epidermal nekroliz (fatal sonuçlar dahil).</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Böbrek ve idrar yolu hastalıkları:</w:t>
      </w:r>
    </w:p>
    <w:p w:rsidR="009038FE" w:rsidRPr="00A763C5" w:rsidRDefault="009038FE"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Özellikle doz aşımında renal hasarlar.</w:t>
      </w:r>
    </w:p>
    <w:p w:rsidR="00651A21" w:rsidRPr="00A763C5" w:rsidRDefault="00651A21" w:rsidP="00250803">
      <w:pPr>
        <w:spacing w:line="276" w:lineRule="auto"/>
        <w:jc w:val="both"/>
        <w:rPr>
          <w:rFonts w:ascii="Times New Roman" w:hAnsi="Times New Roman"/>
          <w:b/>
          <w:spacing w:val="0"/>
          <w:position w:val="0"/>
          <w:sz w:val="24"/>
          <w:szCs w:val="24"/>
          <w:lang w:val="tr-TR"/>
        </w:rPr>
      </w:pPr>
    </w:p>
    <w:p w:rsidR="00CE56DF" w:rsidRPr="00A763C5" w:rsidRDefault="00CE56DF" w:rsidP="00250803">
      <w:pPr>
        <w:spacing w:line="276" w:lineRule="auto"/>
        <w:jc w:val="both"/>
        <w:rPr>
          <w:rFonts w:ascii="Times New Roman" w:hAnsi="Times New Roman"/>
          <w:b/>
          <w:spacing w:val="0"/>
          <w:position w:val="0"/>
          <w:sz w:val="24"/>
          <w:szCs w:val="24"/>
          <w:lang w:val="tr-TR"/>
        </w:rPr>
      </w:pPr>
    </w:p>
    <w:p w:rsidR="00CE56DF" w:rsidRPr="00A763C5" w:rsidRDefault="00CE56DF" w:rsidP="00250803">
      <w:pPr>
        <w:spacing w:line="276" w:lineRule="auto"/>
        <w:jc w:val="both"/>
        <w:rPr>
          <w:rFonts w:ascii="Times New Roman" w:hAnsi="Times New Roman"/>
          <w:b/>
          <w:spacing w:val="0"/>
          <w:position w:val="0"/>
          <w:sz w:val="24"/>
          <w:szCs w:val="24"/>
          <w:lang w:val="tr-TR"/>
        </w:rPr>
      </w:pPr>
    </w:p>
    <w:p w:rsidR="00CE56DF" w:rsidRPr="00A763C5" w:rsidRDefault="00CE56DF" w:rsidP="00CE56DF">
      <w:pPr>
        <w:spacing w:line="276" w:lineRule="auto"/>
        <w:jc w:val="both"/>
        <w:rPr>
          <w:rFonts w:ascii="Times New Roman" w:hAnsi="Times New Roman"/>
          <w:spacing w:val="0"/>
          <w:position w:val="0"/>
          <w:sz w:val="24"/>
          <w:szCs w:val="24"/>
          <w:u w:val="single"/>
          <w:lang w:val="tr-TR"/>
        </w:rPr>
      </w:pPr>
      <w:r w:rsidRPr="00A763C5">
        <w:rPr>
          <w:rFonts w:ascii="Times New Roman" w:hAnsi="Times New Roman"/>
          <w:spacing w:val="0"/>
          <w:position w:val="0"/>
          <w:sz w:val="24"/>
          <w:szCs w:val="24"/>
          <w:u w:val="single"/>
          <w:lang w:val="tr-TR"/>
        </w:rPr>
        <w:lastRenderedPageBreak/>
        <w:t xml:space="preserve">Şüpheli </w:t>
      </w:r>
      <w:proofErr w:type="spellStart"/>
      <w:r w:rsidRPr="00A763C5">
        <w:rPr>
          <w:rFonts w:ascii="Times New Roman" w:hAnsi="Times New Roman"/>
          <w:spacing w:val="0"/>
          <w:position w:val="0"/>
          <w:sz w:val="24"/>
          <w:szCs w:val="24"/>
          <w:u w:val="single"/>
          <w:lang w:val="tr-TR"/>
        </w:rPr>
        <w:t>advers</w:t>
      </w:r>
      <w:proofErr w:type="spellEnd"/>
      <w:r w:rsidRPr="00A763C5">
        <w:rPr>
          <w:rFonts w:ascii="Times New Roman" w:hAnsi="Times New Roman"/>
          <w:spacing w:val="0"/>
          <w:position w:val="0"/>
          <w:sz w:val="24"/>
          <w:szCs w:val="24"/>
          <w:u w:val="single"/>
          <w:lang w:val="tr-TR"/>
        </w:rPr>
        <w:t xml:space="preserve"> reaksiyonların raporlanması</w:t>
      </w:r>
    </w:p>
    <w:p w:rsidR="00672172" w:rsidRPr="00A763C5" w:rsidRDefault="00CE56DF" w:rsidP="00CE56DF">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Ruhsatlandırma sonrası şüpheli ilaç </w:t>
      </w:r>
      <w:proofErr w:type="spellStart"/>
      <w:r w:rsidRPr="00A763C5">
        <w:rPr>
          <w:rFonts w:ascii="Times New Roman" w:hAnsi="Times New Roman"/>
          <w:spacing w:val="0"/>
          <w:position w:val="0"/>
          <w:sz w:val="24"/>
          <w:szCs w:val="24"/>
          <w:lang w:val="tr-TR"/>
        </w:rPr>
        <w:t>advers</w:t>
      </w:r>
      <w:proofErr w:type="spellEnd"/>
      <w:r w:rsidRPr="00A763C5">
        <w:rPr>
          <w:rFonts w:ascii="Times New Roman" w:hAnsi="Times New Roman"/>
          <w:spacing w:val="0"/>
          <w:position w:val="0"/>
          <w:sz w:val="24"/>
          <w:szCs w:val="24"/>
          <w:lang w:val="tr-TR"/>
        </w:rPr>
        <w:t xml:space="preserve"> reaksiyonlarının raporlanması büyük önem taşımaktadır. Raporlama yapılması, ilacın yarar/risk dengesinin sürekli olarak izlenmesine olanak sağlar. Sağlık mesleği mensuplarının herhangi bir şüpheli </w:t>
      </w:r>
      <w:proofErr w:type="spellStart"/>
      <w:r w:rsidRPr="00A763C5">
        <w:rPr>
          <w:rFonts w:ascii="Times New Roman" w:hAnsi="Times New Roman"/>
          <w:spacing w:val="0"/>
          <w:position w:val="0"/>
          <w:sz w:val="24"/>
          <w:szCs w:val="24"/>
          <w:lang w:val="tr-TR"/>
        </w:rPr>
        <w:t>advers</w:t>
      </w:r>
      <w:proofErr w:type="spellEnd"/>
      <w:r w:rsidRPr="00A763C5">
        <w:rPr>
          <w:rFonts w:ascii="Times New Roman" w:hAnsi="Times New Roman"/>
          <w:spacing w:val="0"/>
          <w:position w:val="0"/>
          <w:sz w:val="24"/>
          <w:szCs w:val="24"/>
          <w:lang w:val="tr-TR"/>
        </w:rPr>
        <w:t xml:space="preserve"> reaksiyonu Türkiye </w:t>
      </w:r>
      <w:proofErr w:type="spellStart"/>
      <w:r w:rsidRPr="00A763C5">
        <w:rPr>
          <w:rFonts w:ascii="Times New Roman" w:hAnsi="Times New Roman"/>
          <w:spacing w:val="0"/>
          <w:position w:val="0"/>
          <w:sz w:val="24"/>
          <w:szCs w:val="24"/>
          <w:lang w:val="tr-TR"/>
        </w:rPr>
        <w:t>Farmakovijilans</w:t>
      </w:r>
      <w:proofErr w:type="spellEnd"/>
      <w:r w:rsidRPr="00A763C5">
        <w:rPr>
          <w:rFonts w:ascii="Times New Roman" w:hAnsi="Times New Roman"/>
          <w:spacing w:val="0"/>
          <w:position w:val="0"/>
          <w:sz w:val="24"/>
          <w:szCs w:val="24"/>
          <w:lang w:val="tr-TR"/>
        </w:rPr>
        <w:t xml:space="preserve"> Merkezi (TÜFAM)'ne bildirmeleri gerekmektedir. (www.</w:t>
      </w:r>
      <w:proofErr w:type="spellStart"/>
      <w:r w:rsidRPr="00A763C5">
        <w:rPr>
          <w:rFonts w:ascii="Times New Roman" w:hAnsi="Times New Roman"/>
          <w:spacing w:val="0"/>
          <w:position w:val="0"/>
          <w:sz w:val="24"/>
          <w:szCs w:val="24"/>
          <w:lang w:val="tr-TR"/>
        </w:rPr>
        <w:t>titck</w:t>
      </w:r>
      <w:proofErr w:type="spellEnd"/>
      <w:r w:rsidRPr="00A763C5">
        <w:rPr>
          <w:rFonts w:ascii="Times New Roman" w:hAnsi="Times New Roman"/>
          <w:spacing w:val="0"/>
          <w:position w:val="0"/>
          <w:sz w:val="24"/>
          <w:szCs w:val="24"/>
          <w:lang w:val="tr-TR"/>
        </w:rPr>
        <w:t xml:space="preserve">.gov.tr;          e-posta: </w:t>
      </w:r>
      <w:proofErr w:type="spellStart"/>
      <w:r w:rsidRPr="00A763C5">
        <w:rPr>
          <w:rFonts w:ascii="Times New Roman" w:hAnsi="Times New Roman"/>
          <w:spacing w:val="0"/>
          <w:position w:val="0"/>
          <w:sz w:val="24"/>
          <w:szCs w:val="24"/>
          <w:lang w:val="tr-TR"/>
        </w:rPr>
        <w:t>tufam</w:t>
      </w:r>
      <w:proofErr w:type="spellEnd"/>
      <w:r w:rsidRPr="00A763C5">
        <w:rPr>
          <w:rFonts w:ascii="Times New Roman" w:hAnsi="Times New Roman"/>
          <w:spacing w:val="0"/>
          <w:position w:val="0"/>
          <w:sz w:val="24"/>
          <w:szCs w:val="24"/>
          <w:lang w:val="tr-TR"/>
        </w:rPr>
        <w:t>@</w:t>
      </w:r>
      <w:proofErr w:type="spellStart"/>
      <w:r w:rsidRPr="00A763C5">
        <w:rPr>
          <w:rFonts w:ascii="Times New Roman" w:hAnsi="Times New Roman"/>
          <w:spacing w:val="0"/>
          <w:position w:val="0"/>
          <w:sz w:val="24"/>
          <w:szCs w:val="24"/>
          <w:lang w:val="tr-TR"/>
        </w:rPr>
        <w:t>titck</w:t>
      </w:r>
      <w:proofErr w:type="spellEnd"/>
      <w:r w:rsidRPr="00A763C5">
        <w:rPr>
          <w:rFonts w:ascii="Times New Roman" w:hAnsi="Times New Roman"/>
          <w:spacing w:val="0"/>
          <w:position w:val="0"/>
          <w:sz w:val="24"/>
          <w:szCs w:val="24"/>
          <w:lang w:val="tr-TR"/>
        </w:rPr>
        <w:t>.gov.tr; tel: 0 800 314 00 08; faks: 0 312 218 35 99)</w:t>
      </w:r>
    </w:p>
    <w:p w:rsidR="00672172" w:rsidRPr="00A763C5" w:rsidRDefault="00672172" w:rsidP="00250803">
      <w:pPr>
        <w:spacing w:line="276" w:lineRule="auto"/>
        <w:jc w:val="both"/>
        <w:rPr>
          <w:rFonts w:ascii="Times New Roman" w:hAnsi="Times New Roman"/>
          <w:b/>
          <w:spacing w:val="0"/>
          <w:position w:val="0"/>
          <w:sz w:val="24"/>
          <w:szCs w:val="24"/>
          <w:lang w:val="tr-TR"/>
        </w:rPr>
      </w:pPr>
    </w:p>
    <w:p w:rsidR="00073968"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4.9</w:t>
      </w:r>
      <w:r w:rsidR="00743741"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Doz aşımı</w:t>
      </w:r>
      <w:r w:rsidR="00ED07F9" w:rsidRPr="00A763C5">
        <w:rPr>
          <w:rFonts w:ascii="Times New Roman" w:hAnsi="Times New Roman"/>
          <w:b/>
          <w:spacing w:val="0"/>
          <w:position w:val="0"/>
          <w:sz w:val="24"/>
          <w:szCs w:val="24"/>
          <w:lang w:val="tr-TR"/>
        </w:rPr>
        <w:t xml:space="preserve"> ve </w:t>
      </w:r>
      <w:r w:rsidR="00906103" w:rsidRPr="00A763C5">
        <w:rPr>
          <w:rFonts w:ascii="Times New Roman" w:hAnsi="Times New Roman"/>
          <w:b/>
          <w:spacing w:val="0"/>
          <w:position w:val="0"/>
          <w:sz w:val="24"/>
          <w:szCs w:val="24"/>
          <w:lang w:val="tr-TR"/>
        </w:rPr>
        <w:t>t</w:t>
      </w:r>
      <w:r w:rsidR="00ED07F9" w:rsidRPr="00A763C5">
        <w:rPr>
          <w:rFonts w:ascii="Times New Roman" w:hAnsi="Times New Roman"/>
          <w:b/>
          <w:spacing w:val="0"/>
          <w:position w:val="0"/>
          <w:sz w:val="24"/>
          <w:szCs w:val="24"/>
          <w:lang w:val="tr-TR"/>
        </w:rPr>
        <w:t>edavisi</w:t>
      </w:r>
    </w:p>
    <w:p w:rsidR="00906103" w:rsidRPr="00A763C5" w:rsidRDefault="0090610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Yetişkinlerde 10 </w:t>
      </w:r>
      <w:proofErr w:type="spellStart"/>
      <w:r w:rsidRPr="00A763C5">
        <w:rPr>
          <w:rFonts w:ascii="Times New Roman" w:hAnsi="Times New Roman"/>
          <w:spacing w:val="0"/>
          <w:position w:val="0"/>
          <w:sz w:val="24"/>
          <w:szCs w:val="24"/>
          <w:lang w:val="tr-TR"/>
        </w:rPr>
        <w:t>g</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dan</w:t>
      </w:r>
      <w:proofErr w:type="spellEnd"/>
      <w:r w:rsidRPr="00A763C5">
        <w:rPr>
          <w:rFonts w:ascii="Times New Roman" w:hAnsi="Times New Roman"/>
          <w:spacing w:val="0"/>
          <w:position w:val="0"/>
          <w:sz w:val="24"/>
          <w:szCs w:val="24"/>
          <w:lang w:val="tr-TR"/>
        </w:rPr>
        <w:t xml:space="preserve"> fazla kullanılması halinde toksisite olasılığı vardır. Dahası, aşırı dozun zararı sirotik olmayan alkolik karaciğer hastalığı olanlarda daha büyüktür. Çocuklarda aşırı dozu takiben karaciğer hasarı göreceli olarak daha nadirdir. Karaciğer hücre hasarı ile birlikte parasetamol aşırı dozajında normal erişkinlerde 2 saat civarında</w:t>
      </w:r>
      <w:r w:rsidR="00B00154"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olan parasetamol yarılanma ömrü genellikle 4 saate veya daha uzun sürelere uzar. </w:t>
      </w:r>
      <w:r w:rsidRPr="00A763C5">
        <w:rPr>
          <w:rFonts w:ascii="Times New Roman" w:hAnsi="Times New Roman"/>
          <w:spacing w:val="0"/>
          <w:position w:val="0"/>
          <w:sz w:val="24"/>
          <w:szCs w:val="24"/>
          <w:vertAlign w:val="superscript"/>
          <w:lang w:val="tr-TR"/>
        </w:rPr>
        <w:t>14</w:t>
      </w:r>
      <w:r w:rsidRPr="00A763C5">
        <w:rPr>
          <w:rFonts w:ascii="Times New Roman" w:hAnsi="Times New Roman"/>
          <w:spacing w:val="0"/>
          <w:position w:val="0"/>
          <w:sz w:val="24"/>
          <w:szCs w:val="24"/>
          <w:lang w:val="tr-TR"/>
        </w:rPr>
        <w:t xml:space="preserve">C-aminopirinden sonra </w:t>
      </w:r>
      <w:r w:rsidRPr="00A763C5">
        <w:rPr>
          <w:rFonts w:ascii="Times New Roman" w:hAnsi="Times New Roman"/>
          <w:spacing w:val="0"/>
          <w:position w:val="0"/>
          <w:sz w:val="24"/>
          <w:szCs w:val="24"/>
          <w:vertAlign w:val="superscript"/>
          <w:lang w:val="tr-TR"/>
        </w:rPr>
        <w:t>14</w:t>
      </w:r>
      <w:r w:rsidRPr="00A763C5">
        <w:rPr>
          <w:rFonts w:ascii="Times New Roman" w:hAnsi="Times New Roman"/>
          <w:spacing w:val="0"/>
          <w:position w:val="0"/>
          <w:sz w:val="24"/>
          <w:szCs w:val="24"/>
          <w:lang w:val="tr-TR"/>
        </w:rPr>
        <w:t>CO</w:t>
      </w:r>
      <w:r w:rsidRPr="00A763C5">
        <w:rPr>
          <w:rFonts w:ascii="Times New Roman" w:hAnsi="Times New Roman"/>
          <w:spacing w:val="0"/>
          <w:position w:val="0"/>
          <w:sz w:val="24"/>
          <w:szCs w:val="24"/>
          <w:vertAlign w:val="subscript"/>
          <w:lang w:val="tr-TR"/>
        </w:rPr>
        <w:t>2</w:t>
      </w:r>
      <w:r w:rsidRPr="00A763C5">
        <w:rPr>
          <w:rFonts w:ascii="Times New Roman" w:hAnsi="Times New Roman"/>
          <w:spacing w:val="0"/>
          <w:position w:val="0"/>
          <w:sz w:val="24"/>
          <w:szCs w:val="24"/>
          <w:lang w:val="tr-TR"/>
        </w:rPr>
        <w:t xml:space="preserve"> atılımında azalma bildirilmiştir. Bu; plazma parasetamol konsantrasyonu veya yarılanma</w:t>
      </w:r>
      <w:r w:rsidR="006645FA"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ömrü, veya konvansiyonel karaciğer fonksiyon testi</w:t>
      </w:r>
      <w:r w:rsidR="00B00154"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ölçümlerine nazaran parasetamol aşırı dozajı ile karaciğer hücre hasarı arasındaki ilişkiyi daha iyi gösterir. </w:t>
      </w:r>
      <w:proofErr w:type="spellStart"/>
      <w:r w:rsidRPr="00A763C5">
        <w:rPr>
          <w:rFonts w:ascii="Times New Roman" w:hAnsi="Times New Roman"/>
          <w:spacing w:val="0"/>
          <w:position w:val="0"/>
          <w:sz w:val="24"/>
          <w:szCs w:val="24"/>
          <w:lang w:val="tr-TR"/>
        </w:rPr>
        <w:t>Parasetamole</w:t>
      </w:r>
      <w:proofErr w:type="spellEnd"/>
      <w:r w:rsidRPr="00A763C5">
        <w:rPr>
          <w:rFonts w:ascii="Times New Roman" w:hAnsi="Times New Roman"/>
          <w:spacing w:val="0"/>
          <w:position w:val="0"/>
          <w:sz w:val="24"/>
          <w:szCs w:val="24"/>
          <w:lang w:val="tr-TR"/>
        </w:rPr>
        <w:t xml:space="preserve"> bağlı </w:t>
      </w:r>
      <w:proofErr w:type="spellStart"/>
      <w:r w:rsidRPr="00A763C5">
        <w:rPr>
          <w:rFonts w:ascii="Times New Roman" w:hAnsi="Times New Roman"/>
          <w:spacing w:val="0"/>
          <w:position w:val="0"/>
          <w:sz w:val="24"/>
          <w:szCs w:val="24"/>
          <w:lang w:val="tr-TR"/>
        </w:rPr>
        <w:t>fulminant</w:t>
      </w:r>
      <w:proofErr w:type="spellEnd"/>
      <w:r w:rsidRPr="00A763C5">
        <w:rPr>
          <w:rFonts w:ascii="Times New Roman" w:hAnsi="Times New Roman"/>
          <w:spacing w:val="0"/>
          <w:position w:val="0"/>
          <w:sz w:val="24"/>
          <w:szCs w:val="24"/>
          <w:lang w:val="tr-TR"/>
        </w:rPr>
        <w:t xml:space="preserve"> karaciğer yetmezliğini takiben gelişen akut tübüler nekrozdan dolayı böbrek yetmezliği oluşabilir. Bununla beraber, bunun insidansı başka nedenlerden dolayı fulminant karaciğer yetmezliği olan hastalarla karşılaştırıldığında bu grup hastalarda daha sık değildir. Nadiren, ilaç aldıktan 2-10 gün sonra, sadece minimal karaciğer toksisitesine karşın renal tübüler nekroz oluşabilir. Aşırı dozda parasetamol almış bir hastada kronik alkol alımının akut pankreatit gelişmesine katkıda bulunduğu bildirilmiştir. Akut aşırı doza ilaveten,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günlük aşırı miktarlarda alımından sonra karaciğer hasarı ve nefrotoksik etkiler bildirilmiştir.</w:t>
      </w:r>
    </w:p>
    <w:p w:rsidR="00906103" w:rsidRPr="00A763C5" w:rsidRDefault="00906103" w:rsidP="00250803">
      <w:pPr>
        <w:spacing w:line="276" w:lineRule="auto"/>
        <w:jc w:val="both"/>
        <w:rPr>
          <w:rFonts w:ascii="Times New Roman" w:hAnsi="Times New Roman"/>
          <w:spacing w:val="0"/>
          <w:position w:val="0"/>
          <w:sz w:val="24"/>
          <w:szCs w:val="24"/>
          <w:lang w:val="tr-TR"/>
        </w:rPr>
      </w:pPr>
    </w:p>
    <w:p w:rsidR="00906103" w:rsidRPr="00A763C5" w:rsidRDefault="0090610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Semptom ve belirtiler:</w:t>
      </w:r>
    </w:p>
    <w:p w:rsidR="00906103" w:rsidRPr="00A763C5" w:rsidRDefault="0090610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Solgunluk, anoreksi, bulantı ve kusma parasetamol aşırı dozajının sık görülen erken</w:t>
      </w:r>
      <w:r w:rsidR="00B00154"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semptomlarıdır. Hepatik nekroz parasetamol aşırı dozajının dozla ilişkili komplikasyonudur.</w:t>
      </w:r>
      <w:r w:rsidR="00B00154"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Hepatik enzimler yükselebilir ve protrombin zamanı 12 ila 48 saat içinde uzar, fakat klinik</w:t>
      </w:r>
      <w:r w:rsidR="00B00154"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semptomlar ilacın alımını takiben 1 ila 6 gün içinde belirgin olmayabilir.</w:t>
      </w:r>
    </w:p>
    <w:p w:rsidR="00906103" w:rsidRPr="00A763C5" w:rsidRDefault="00906103" w:rsidP="00250803">
      <w:pPr>
        <w:spacing w:line="276" w:lineRule="auto"/>
        <w:jc w:val="both"/>
        <w:rPr>
          <w:rFonts w:ascii="Times New Roman" w:hAnsi="Times New Roman"/>
          <w:spacing w:val="0"/>
          <w:position w:val="0"/>
          <w:sz w:val="24"/>
          <w:szCs w:val="24"/>
          <w:lang w:val="tr-TR"/>
        </w:rPr>
      </w:pPr>
    </w:p>
    <w:p w:rsidR="00906103" w:rsidRPr="00A763C5" w:rsidRDefault="0090610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Tedavi:</w:t>
      </w:r>
    </w:p>
    <w:p w:rsidR="003F68B8" w:rsidRPr="00A763C5" w:rsidRDefault="0090610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Hastayı gecikmiş hepatoksisiteye karşı korumak için parasetamol aşırı dozajı hemen</w:t>
      </w:r>
      <w:r w:rsidR="00761C59"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tedavi edilmelidir. Bunun için, absorpsiyonu azaltmayı (gastrik lavaj veya aktif kömür) takiben </w:t>
      </w:r>
      <w:proofErr w:type="spellStart"/>
      <w:r w:rsidRPr="00A763C5">
        <w:rPr>
          <w:rFonts w:ascii="Times New Roman" w:hAnsi="Times New Roman"/>
          <w:spacing w:val="0"/>
          <w:position w:val="0"/>
          <w:sz w:val="24"/>
          <w:szCs w:val="24"/>
          <w:lang w:val="tr-TR"/>
        </w:rPr>
        <w:t>intravenöz</w:t>
      </w:r>
      <w:proofErr w:type="spellEnd"/>
      <w:r w:rsidRPr="00A763C5">
        <w:rPr>
          <w:rFonts w:ascii="Times New Roman" w:hAnsi="Times New Roman"/>
          <w:spacing w:val="0"/>
          <w:position w:val="0"/>
          <w:sz w:val="24"/>
          <w:szCs w:val="24"/>
          <w:lang w:val="tr-TR"/>
        </w:rPr>
        <w:t xml:space="preserve"> N-</w:t>
      </w:r>
      <w:proofErr w:type="spellStart"/>
      <w:r w:rsidRPr="00A763C5">
        <w:rPr>
          <w:rFonts w:ascii="Times New Roman" w:hAnsi="Times New Roman"/>
          <w:spacing w:val="0"/>
          <w:position w:val="0"/>
          <w:sz w:val="24"/>
          <w:szCs w:val="24"/>
          <w:lang w:val="tr-TR"/>
        </w:rPr>
        <w:t>asetilsistein</w:t>
      </w:r>
      <w:proofErr w:type="spellEnd"/>
      <w:r w:rsidRPr="00A763C5">
        <w:rPr>
          <w:rFonts w:ascii="Times New Roman" w:hAnsi="Times New Roman"/>
          <w:spacing w:val="0"/>
          <w:position w:val="0"/>
          <w:sz w:val="24"/>
          <w:szCs w:val="24"/>
          <w:lang w:val="tr-TR"/>
        </w:rPr>
        <w:t xml:space="preserve"> veya oral </w:t>
      </w:r>
      <w:proofErr w:type="spellStart"/>
      <w:r w:rsidRPr="00A763C5">
        <w:rPr>
          <w:rFonts w:ascii="Times New Roman" w:hAnsi="Times New Roman"/>
          <w:spacing w:val="0"/>
          <w:position w:val="0"/>
          <w:sz w:val="24"/>
          <w:szCs w:val="24"/>
          <w:lang w:val="tr-TR"/>
        </w:rPr>
        <w:t>metiyonin</w:t>
      </w:r>
      <w:proofErr w:type="spellEnd"/>
      <w:r w:rsidRPr="00A763C5">
        <w:rPr>
          <w:rFonts w:ascii="Times New Roman" w:hAnsi="Times New Roman"/>
          <w:spacing w:val="0"/>
          <w:position w:val="0"/>
          <w:sz w:val="24"/>
          <w:szCs w:val="24"/>
          <w:lang w:val="tr-TR"/>
        </w:rPr>
        <w:t xml:space="preserve"> vermek gerekir. Eğer hasta kusuyorsa veya aktif kömür ile </w:t>
      </w:r>
      <w:proofErr w:type="spellStart"/>
      <w:r w:rsidRPr="00A763C5">
        <w:rPr>
          <w:rFonts w:ascii="Times New Roman" w:hAnsi="Times New Roman"/>
          <w:spacing w:val="0"/>
          <w:position w:val="0"/>
          <w:sz w:val="24"/>
          <w:szCs w:val="24"/>
          <w:lang w:val="tr-TR"/>
        </w:rPr>
        <w:t>konjugasyon</w:t>
      </w:r>
      <w:proofErr w:type="spellEnd"/>
      <w:r w:rsidRPr="00A763C5">
        <w:rPr>
          <w:rFonts w:ascii="Times New Roman" w:hAnsi="Times New Roman"/>
          <w:spacing w:val="0"/>
          <w:position w:val="0"/>
          <w:sz w:val="24"/>
          <w:szCs w:val="24"/>
          <w:lang w:val="tr-TR"/>
        </w:rPr>
        <w:t xml:space="preserve"> yapılmışsa </w:t>
      </w:r>
      <w:proofErr w:type="spellStart"/>
      <w:r w:rsidRPr="00A763C5">
        <w:rPr>
          <w:rFonts w:ascii="Times New Roman" w:hAnsi="Times New Roman"/>
          <w:spacing w:val="0"/>
          <w:position w:val="0"/>
          <w:sz w:val="24"/>
          <w:szCs w:val="24"/>
          <w:lang w:val="tr-TR"/>
        </w:rPr>
        <w:t>metiyonin</w:t>
      </w:r>
      <w:proofErr w:type="spellEnd"/>
      <w:r w:rsidRPr="00A763C5">
        <w:rPr>
          <w:rFonts w:ascii="Times New Roman" w:hAnsi="Times New Roman"/>
          <w:spacing w:val="0"/>
          <w:position w:val="0"/>
          <w:sz w:val="24"/>
          <w:szCs w:val="24"/>
          <w:lang w:val="tr-TR"/>
        </w:rPr>
        <w:t xml:space="preserve"> kullanılmamalıdır. Doruk plazma parasetamol konsantrasyonları aşırı dozu takiben 4 saate kadar gecikebilir. Bu nedenle, hepatoksisite riskini belirlemek için plazma parasetamol düzeyleri ilaç alımından en az 4 saat sonrasına kadar ölçülmelidir. Ek tedavi (ilave oral </w:t>
      </w:r>
      <w:proofErr w:type="spellStart"/>
      <w:r w:rsidRPr="00A763C5">
        <w:rPr>
          <w:rFonts w:ascii="Times New Roman" w:hAnsi="Times New Roman"/>
          <w:spacing w:val="0"/>
          <w:position w:val="0"/>
          <w:sz w:val="24"/>
          <w:szCs w:val="24"/>
          <w:lang w:val="tr-TR"/>
        </w:rPr>
        <w:t>metiyonin</w:t>
      </w:r>
      <w:proofErr w:type="spellEnd"/>
      <w:r w:rsidRPr="00A763C5">
        <w:rPr>
          <w:rFonts w:ascii="Times New Roman" w:hAnsi="Times New Roman"/>
          <w:spacing w:val="0"/>
          <w:position w:val="0"/>
          <w:sz w:val="24"/>
          <w:szCs w:val="24"/>
          <w:lang w:val="tr-TR"/>
        </w:rPr>
        <w:t xml:space="preserve"> veya </w:t>
      </w:r>
      <w:proofErr w:type="spellStart"/>
      <w:r w:rsidRPr="00A763C5">
        <w:rPr>
          <w:rFonts w:ascii="Times New Roman" w:hAnsi="Times New Roman"/>
          <w:spacing w:val="0"/>
          <w:position w:val="0"/>
          <w:sz w:val="24"/>
          <w:szCs w:val="24"/>
          <w:lang w:val="tr-TR"/>
        </w:rPr>
        <w:t>intravenöz</w:t>
      </w:r>
      <w:proofErr w:type="spellEnd"/>
      <w:r w:rsidRPr="00A763C5">
        <w:rPr>
          <w:rFonts w:ascii="Times New Roman" w:hAnsi="Times New Roman"/>
          <w:spacing w:val="0"/>
          <w:position w:val="0"/>
          <w:sz w:val="24"/>
          <w:szCs w:val="24"/>
          <w:lang w:val="tr-TR"/>
        </w:rPr>
        <w:t xml:space="preserve"> N-</w:t>
      </w:r>
      <w:proofErr w:type="spellStart"/>
      <w:r w:rsidRPr="00A763C5">
        <w:rPr>
          <w:rFonts w:ascii="Times New Roman" w:hAnsi="Times New Roman"/>
          <w:spacing w:val="0"/>
          <w:position w:val="0"/>
          <w:sz w:val="24"/>
          <w:szCs w:val="24"/>
          <w:lang w:val="tr-TR"/>
        </w:rPr>
        <w:t>asetilsistein</w:t>
      </w:r>
      <w:proofErr w:type="spellEnd"/>
      <w:r w:rsidRPr="00A763C5">
        <w:rPr>
          <w:rFonts w:ascii="Times New Roman" w:hAnsi="Times New Roman"/>
          <w:spacing w:val="0"/>
          <w:position w:val="0"/>
          <w:sz w:val="24"/>
          <w:szCs w:val="24"/>
          <w:lang w:val="tr-TR"/>
        </w:rPr>
        <w:t xml:space="preserve">) kan parasetamol içeriği ve ilaç alımından beri geçen süre ışığı altında değerlendirilmelidir. Hepatik mikrozomal enzim indükleyici ilaçlar alan hastalarda, uzun süredir alkol bağımlısı olanlarda veya kronik olarak beslenme eksikliği olanlarda N-asetilsistein ile tedavi eşiğinin %30-50 düşürülmesi önerilir, çünkü bu hastalar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toksik</w:t>
      </w:r>
      <w:proofErr w:type="spellEnd"/>
      <w:r w:rsidRPr="00A763C5">
        <w:rPr>
          <w:rFonts w:ascii="Times New Roman" w:hAnsi="Times New Roman"/>
          <w:spacing w:val="0"/>
          <w:position w:val="0"/>
          <w:sz w:val="24"/>
          <w:szCs w:val="24"/>
          <w:lang w:val="tr-TR"/>
        </w:rPr>
        <w:t xml:space="preserve"> etkilerine karşı daha </w:t>
      </w:r>
      <w:r w:rsidRPr="00A763C5">
        <w:rPr>
          <w:rFonts w:ascii="Times New Roman" w:hAnsi="Times New Roman"/>
          <w:spacing w:val="0"/>
          <w:position w:val="0"/>
          <w:sz w:val="24"/>
          <w:szCs w:val="24"/>
          <w:lang w:val="tr-TR"/>
        </w:rPr>
        <w:lastRenderedPageBreak/>
        <w:t>duyarlı olabilirler. Parasetamol aşırı dozajını takiben gelişebilecek fulminant karaciğer yetmezliği tedavisi uzmanlık gerektirir.</w:t>
      </w:r>
    </w:p>
    <w:p w:rsidR="003F68B8" w:rsidRPr="00A763C5" w:rsidRDefault="003F68B8" w:rsidP="00250803">
      <w:pPr>
        <w:spacing w:line="276" w:lineRule="auto"/>
        <w:jc w:val="both"/>
        <w:rPr>
          <w:rFonts w:ascii="Times New Roman" w:hAnsi="Times New Roman"/>
          <w:spacing w:val="0"/>
          <w:position w:val="0"/>
          <w:sz w:val="24"/>
          <w:szCs w:val="24"/>
          <w:lang w:val="tr-TR"/>
        </w:rPr>
      </w:pPr>
    </w:p>
    <w:p w:rsidR="00521AED" w:rsidRPr="00A763C5" w:rsidRDefault="00073968"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spacing w:val="0"/>
          <w:position w:val="0"/>
          <w:sz w:val="24"/>
          <w:szCs w:val="24"/>
          <w:lang w:val="tr-TR"/>
        </w:rPr>
        <w:t>5.</w:t>
      </w:r>
      <w:r w:rsidR="00BD517E" w:rsidRPr="00A763C5">
        <w:rPr>
          <w:rFonts w:ascii="Times New Roman" w:hAnsi="Times New Roman"/>
          <w:b/>
          <w:spacing w:val="0"/>
          <w:position w:val="0"/>
          <w:sz w:val="24"/>
          <w:szCs w:val="24"/>
          <w:lang w:val="tr-TR"/>
        </w:rPr>
        <w:t xml:space="preserve"> </w:t>
      </w:r>
      <w:r w:rsidRPr="00A763C5">
        <w:rPr>
          <w:rFonts w:ascii="Times New Roman" w:hAnsi="Times New Roman"/>
          <w:b/>
          <w:spacing w:val="0"/>
          <w:position w:val="0"/>
          <w:sz w:val="24"/>
          <w:szCs w:val="24"/>
          <w:lang w:val="tr-TR"/>
        </w:rPr>
        <w:t>FARMAKOLOJİK ÖZELLİKLER</w:t>
      </w:r>
    </w:p>
    <w:p w:rsidR="00073968" w:rsidRPr="00A763C5" w:rsidRDefault="00073968" w:rsidP="00250803">
      <w:pPr>
        <w:tabs>
          <w:tab w:val="left" w:pos="1200"/>
        </w:tabs>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5.1</w:t>
      </w:r>
      <w:r w:rsidR="00761C59"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Farmakodinamik </w:t>
      </w:r>
      <w:r w:rsidR="00761C59" w:rsidRPr="00A763C5">
        <w:rPr>
          <w:rFonts w:ascii="Times New Roman" w:hAnsi="Times New Roman"/>
          <w:b/>
          <w:spacing w:val="0"/>
          <w:position w:val="0"/>
          <w:sz w:val="24"/>
          <w:szCs w:val="24"/>
          <w:lang w:val="tr-TR"/>
        </w:rPr>
        <w:t>ö</w:t>
      </w:r>
      <w:r w:rsidR="00B67350" w:rsidRPr="00A763C5">
        <w:rPr>
          <w:rFonts w:ascii="Times New Roman" w:hAnsi="Times New Roman"/>
          <w:b/>
          <w:spacing w:val="0"/>
          <w:position w:val="0"/>
          <w:sz w:val="24"/>
          <w:szCs w:val="24"/>
          <w:lang w:val="tr-TR"/>
        </w:rPr>
        <w:t>zellikler</w:t>
      </w:r>
    </w:p>
    <w:p w:rsidR="00F44DF1" w:rsidRPr="00A763C5" w:rsidRDefault="00F44DF1"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Farmakoterapötik </w:t>
      </w:r>
      <w:r w:rsidR="00B67350" w:rsidRPr="00A763C5">
        <w:rPr>
          <w:rFonts w:ascii="Times New Roman" w:hAnsi="Times New Roman"/>
          <w:spacing w:val="0"/>
          <w:position w:val="0"/>
          <w:sz w:val="24"/>
          <w:szCs w:val="24"/>
          <w:lang w:val="tr-TR"/>
        </w:rPr>
        <w:t>g</w:t>
      </w:r>
      <w:r w:rsidRPr="00A763C5">
        <w:rPr>
          <w:rFonts w:ascii="Times New Roman" w:hAnsi="Times New Roman"/>
          <w:spacing w:val="0"/>
          <w:position w:val="0"/>
          <w:sz w:val="24"/>
          <w:szCs w:val="24"/>
          <w:lang w:val="tr-TR"/>
        </w:rPr>
        <w:t xml:space="preserve">rup: </w:t>
      </w:r>
      <w:r w:rsidR="00761C59" w:rsidRPr="00A763C5">
        <w:rPr>
          <w:rFonts w:ascii="Times New Roman" w:hAnsi="Times New Roman"/>
          <w:spacing w:val="0"/>
          <w:position w:val="0"/>
          <w:sz w:val="24"/>
          <w:szCs w:val="24"/>
          <w:lang w:val="tr-TR"/>
        </w:rPr>
        <w:t xml:space="preserve">Analjezik – </w:t>
      </w:r>
      <w:proofErr w:type="spellStart"/>
      <w:r w:rsidR="00761C59" w:rsidRPr="00A763C5">
        <w:rPr>
          <w:rFonts w:ascii="Times New Roman" w:hAnsi="Times New Roman"/>
          <w:spacing w:val="0"/>
          <w:position w:val="0"/>
          <w:sz w:val="24"/>
          <w:szCs w:val="24"/>
          <w:lang w:val="tr-TR"/>
        </w:rPr>
        <w:t>Antipiretik</w:t>
      </w:r>
      <w:proofErr w:type="spellEnd"/>
    </w:p>
    <w:p w:rsidR="00956053" w:rsidRPr="00A763C5" w:rsidRDefault="0095605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ATC kodu:</w:t>
      </w:r>
      <w:r w:rsidR="00BD517E" w:rsidRPr="00A763C5">
        <w:rPr>
          <w:rFonts w:ascii="Times New Roman" w:hAnsi="Times New Roman"/>
          <w:spacing w:val="0"/>
          <w:position w:val="0"/>
          <w:sz w:val="24"/>
          <w:szCs w:val="24"/>
          <w:lang w:val="tr-TR"/>
        </w:rPr>
        <w:t xml:space="preserve"> </w:t>
      </w:r>
      <w:r w:rsidR="00DF37C3" w:rsidRPr="00A763C5">
        <w:rPr>
          <w:rFonts w:ascii="Times New Roman" w:hAnsi="Times New Roman"/>
          <w:spacing w:val="0"/>
          <w:position w:val="0"/>
          <w:sz w:val="24"/>
          <w:szCs w:val="24"/>
          <w:lang w:val="tr-TR"/>
        </w:rPr>
        <w:t>N02BE01</w:t>
      </w:r>
    </w:p>
    <w:p w:rsidR="00761C59" w:rsidRPr="00A763C5" w:rsidRDefault="00761C59" w:rsidP="00250803">
      <w:pPr>
        <w:spacing w:line="276" w:lineRule="auto"/>
        <w:jc w:val="both"/>
        <w:rPr>
          <w:rFonts w:ascii="Times New Roman" w:hAnsi="Times New Roman"/>
          <w:spacing w:val="0"/>
          <w:position w:val="0"/>
          <w:sz w:val="24"/>
          <w:szCs w:val="24"/>
          <w:lang w:val="tr-TR"/>
        </w:rPr>
      </w:pPr>
    </w:p>
    <w:p w:rsidR="00761C59" w:rsidRPr="00A763C5" w:rsidRDefault="00761C59"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Etki mekanizması</w:t>
      </w:r>
    </w:p>
    <w:p w:rsidR="00761C59" w:rsidRPr="00A763C5" w:rsidRDefault="00761C59"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Analjezik etki: Analjezik etkinin mekanizması tam olarak belirlenememiştir. Parasetamol etkisini genelde santral sinir sisteminde </w:t>
      </w:r>
      <w:proofErr w:type="spellStart"/>
      <w:r w:rsidRPr="00A763C5">
        <w:rPr>
          <w:rFonts w:ascii="Times New Roman" w:hAnsi="Times New Roman"/>
          <w:spacing w:val="0"/>
          <w:position w:val="0"/>
          <w:sz w:val="24"/>
          <w:szCs w:val="24"/>
          <w:lang w:val="tr-TR"/>
        </w:rPr>
        <w:t>prostaglandin</w:t>
      </w:r>
      <w:proofErr w:type="spellEnd"/>
      <w:r w:rsidRPr="00A763C5">
        <w:rPr>
          <w:rFonts w:ascii="Times New Roman" w:hAnsi="Times New Roman"/>
          <w:spacing w:val="0"/>
          <w:position w:val="0"/>
          <w:sz w:val="24"/>
          <w:szCs w:val="24"/>
          <w:lang w:val="tr-TR"/>
        </w:rPr>
        <w:t xml:space="preserve"> sentezini </w:t>
      </w:r>
      <w:proofErr w:type="spellStart"/>
      <w:r w:rsidRPr="00A763C5">
        <w:rPr>
          <w:rFonts w:ascii="Times New Roman" w:hAnsi="Times New Roman"/>
          <w:spacing w:val="0"/>
          <w:position w:val="0"/>
          <w:sz w:val="24"/>
          <w:szCs w:val="24"/>
          <w:lang w:val="tr-TR"/>
        </w:rPr>
        <w:t>inhibe</w:t>
      </w:r>
      <w:proofErr w:type="spellEnd"/>
      <w:r w:rsidRPr="00A763C5">
        <w:rPr>
          <w:rFonts w:ascii="Times New Roman" w:hAnsi="Times New Roman"/>
          <w:spacing w:val="0"/>
          <w:position w:val="0"/>
          <w:sz w:val="24"/>
          <w:szCs w:val="24"/>
          <w:lang w:val="tr-TR"/>
        </w:rPr>
        <w:t xml:space="preserve"> ederek ve daha düşük oranda ağrı-uyarı oluşumunu bloke ederek </w:t>
      </w:r>
      <w:proofErr w:type="spellStart"/>
      <w:r w:rsidRPr="00A763C5">
        <w:rPr>
          <w:rFonts w:ascii="Times New Roman" w:hAnsi="Times New Roman"/>
          <w:spacing w:val="0"/>
          <w:position w:val="0"/>
          <w:sz w:val="24"/>
          <w:szCs w:val="24"/>
          <w:lang w:val="tr-TR"/>
        </w:rPr>
        <w:t>periferik</w:t>
      </w:r>
      <w:proofErr w:type="spellEnd"/>
      <w:r w:rsidRPr="00A763C5">
        <w:rPr>
          <w:rFonts w:ascii="Times New Roman" w:hAnsi="Times New Roman"/>
          <w:spacing w:val="0"/>
          <w:position w:val="0"/>
          <w:sz w:val="24"/>
          <w:szCs w:val="24"/>
          <w:lang w:val="tr-TR"/>
        </w:rPr>
        <w:t xml:space="preserve"> etki yoluyla gösterir. İlacın </w:t>
      </w:r>
      <w:proofErr w:type="spellStart"/>
      <w:r w:rsidRPr="00A763C5">
        <w:rPr>
          <w:rFonts w:ascii="Times New Roman" w:hAnsi="Times New Roman"/>
          <w:spacing w:val="0"/>
          <w:position w:val="0"/>
          <w:sz w:val="24"/>
          <w:szCs w:val="24"/>
          <w:lang w:val="tr-TR"/>
        </w:rPr>
        <w:t>periferik</w:t>
      </w:r>
      <w:proofErr w:type="spellEnd"/>
      <w:r w:rsidRPr="00A763C5">
        <w:rPr>
          <w:rFonts w:ascii="Times New Roman" w:hAnsi="Times New Roman"/>
          <w:spacing w:val="0"/>
          <w:position w:val="0"/>
          <w:sz w:val="24"/>
          <w:szCs w:val="24"/>
          <w:lang w:val="tr-TR"/>
        </w:rPr>
        <w:t xml:space="preserve"> etkisi, </w:t>
      </w:r>
      <w:proofErr w:type="spellStart"/>
      <w:r w:rsidRPr="00A763C5">
        <w:rPr>
          <w:rFonts w:ascii="Times New Roman" w:hAnsi="Times New Roman"/>
          <w:spacing w:val="0"/>
          <w:position w:val="0"/>
          <w:sz w:val="24"/>
          <w:szCs w:val="24"/>
          <w:lang w:val="tr-TR"/>
        </w:rPr>
        <w:t>prostaglandin</w:t>
      </w:r>
      <w:proofErr w:type="spellEnd"/>
      <w:r w:rsidRPr="00A763C5">
        <w:rPr>
          <w:rFonts w:ascii="Times New Roman" w:hAnsi="Times New Roman"/>
          <w:spacing w:val="0"/>
          <w:position w:val="0"/>
          <w:sz w:val="24"/>
          <w:szCs w:val="24"/>
          <w:lang w:val="tr-TR"/>
        </w:rPr>
        <w:t xml:space="preserve"> sentezinin </w:t>
      </w:r>
      <w:proofErr w:type="spellStart"/>
      <w:r w:rsidRPr="00A763C5">
        <w:rPr>
          <w:rFonts w:ascii="Times New Roman" w:hAnsi="Times New Roman"/>
          <w:spacing w:val="0"/>
          <w:position w:val="0"/>
          <w:sz w:val="24"/>
          <w:szCs w:val="24"/>
          <w:lang w:val="tr-TR"/>
        </w:rPr>
        <w:t>inhibisyonuna</w:t>
      </w:r>
      <w:proofErr w:type="spellEnd"/>
      <w:r w:rsidRPr="00A763C5">
        <w:rPr>
          <w:rFonts w:ascii="Times New Roman" w:hAnsi="Times New Roman"/>
          <w:spacing w:val="0"/>
          <w:position w:val="0"/>
          <w:sz w:val="24"/>
          <w:szCs w:val="24"/>
          <w:lang w:val="tr-TR"/>
        </w:rPr>
        <w:t xml:space="preserve"> ya da ağrı reseptörlerini mekanik veya kimyasal </w:t>
      </w:r>
      <w:proofErr w:type="spellStart"/>
      <w:r w:rsidRPr="00A763C5">
        <w:rPr>
          <w:rFonts w:ascii="Times New Roman" w:hAnsi="Times New Roman"/>
          <w:spacing w:val="0"/>
          <w:position w:val="0"/>
          <w:sz w:val="24"/>
          <w:szCs w:val="24"/>
          <w:lang w:val="tr-TR"/>
        </w:rPr>
        <w:t>stimülasyonlara</w:t>
      </w:r>
      <w:proofErr w:type="spellEnd"/>
      <w:r w:rsidRPr="00A763C5">
        <w:rPr>
          <w:rFonts w:ascii="Times New Roman" w:hAnsi="Times New Roman"/>
          <w:spacing w:val="0"/>
          <w:position w:val="0"/>
          <w:sz w:val="24"/>
          <w:szCs w:val="24"/>
          <w:lang w:val="tr-TR"/>
        </w:rPr>
        <w:t xml:space="preserve"> karşı duyarlı hale getiren diğer</w:t>
      </w:r>
      <w:r w:rsidR="000A3A7F"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maddelerin</w:t>
      </w:r>
      <w:r w:rsidR="000A3A7F"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sentezinin veya etkilerinin </w:t>
      </w:r>
      <w:proofErr w:type="spellStart"/>
      <w:r w:rsidRPr="00A763C5">
        <w:rPr>
          <w:rFonts w:ascii="Times New Roman" w:hAnsi="Times New Roman"/>
          <w:spacing w:val="0"/>
          <w:position w:val="0"/>
          <w:sz w:val="24"/>
          <w:szCs w:val="24"/>
          <w:lang w:val="tr-TR"/>
        </w:rPr>
        <w:t>inhibisyonuna</w:t>
      </w:r>
      <w:proofErr w:type="spellEnd"/>
      <w:r w:rsidRPr="00A763C5">
        <w:rPr>
          <w:rFonts w:ascii="Times New Roman" w:hAnsi="Times New Roman"/>
          <w:spacing w:val="0"/>
          <w:position w:val="0"/>
          <w:sz w:val="24"/>
          <w:szCs w:val="24"/>
          <w:lang w:val="tr-TR"/>
        </w:rPr>
        <w:t xml:space="preserve"> da bağlı olabilir.</w:t>
      </w:r>
    </w:p>
    <w:p w:rsidR="00761C59" w:rsidRPr="00A763C5" w:rsidRDefault="00761C59" w:rsidP="00250803">
      <w:pPr>
        <w:tabs>
          <w:tab w:val="left" w:pos="1200"/>
        </w:tabs>
        <w:spacing w:line="276" w:lineRule="auto"/>
        <w:jc w:val="both"/>
        <w:rPr>
          <w:rFonts w:ascii="Times New Roman" w:hAnsi="Times New Roman"/>
          <w:spacing w:val="0"/>
          <w:position w:val="0"/>
          <w:sz w:val="24"/>
          <w:szCs w:val="24"/>
          <w:lang w:val="tr-TR"/>
        </w:rPr>
      </w:pPr>
    </w:p>
    <w:p w:rsidR="00761C59" w:rsidRPr="00A763C5" w:rsidRDefault="00761C59" w:rsidP="00250803">
      <w:pPr>
        <w:tabs>
          <w:tab w:val="left" w:pos="1200"/>
        </w:tabs>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Antipiretik</w:t>
      </w:r>
      <w:proofErr w:type="spellEnd"/>
      <w:r w:rsidRPr="00A763C5">
        <w:rPr>
          <w:rFonts w:ascii="Times New Roman" w:hAnsi="Times New Roman"/>
          <w:spacing w:val="0"/>
          <w:position w:val="0"/>
          <w:sz w:val="24"/>
          <w:szCs w:val="24"/>
          <w:lang w:val="tr-TR"/>
        </w:rPr>
        <w:t xml:space="preserve"> etki: </w:t>
      </w:r>
      <w:proofErr w:type="spellStart"/>
      <w:r w:rsidRPr="00A763C5">
        <w:rPr>
          <w:rFonts w:ascii="Times New Roman" w:hAnsi="Times New Roman"/>
          <w:spacing w:val="0"/>
          <w:position w:val="0"/>
          <w:sz w:val="24"/>
          <w:szCs w:val="24"/>
          <w:lang w:val="tr-TR"/>
        </w:rPr>
        <w:t>Parasetamol</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antipiretik</w:t>
      </w:r>
      <w:proofErr w:type="spellEnd"/>
      <w:r w:rsidRPr="00A763C5">
        <w:rPr>
          <w:rFonts w:ascii="Times New Roman" w:hAnsi="Times New Roman"/>
          <w:spacing w:val="0"/>
          <w:position w:val="0"/>
          <w:sz w:val="24"/>
          <w:szCs w:val="24"/>
          <w:lang w:val="tr-TR"/>
        </w:rPr>
        <w:t xml:space="preserve"> etkisini </w:t>
      </w:r>
      <w:proofErr w:type="spellStart"/>
      <w:r w:rsidRPr="00A763C5">
        <w:rPr>
          <w:rFonts w:ascii="Times New Roman" w:hAnsi="Times New Roman"/>
          <w:spacing w:val="0"/>
          <w:position w:val="0"/>
          <w:sz w:val="24"/>
          <w:szCs w:val="24"/>
          <w:lang w:val="tr-TR"/>
        </w:rPr>
        <w:t>hipotalamusta</w:t>
      </w:r>
      <w:proofErr w:type="spellEnd"/>
      <w:r w:rsidRPr="00A763C5">
        <w:rPr>
          <w:rFonts w:ascii="Times New Roman" w:hAnsi="Times New Roman"/>
          <w:spacing w:val="0"/>
          <w:position w:val="0"/>
          <w:sz w:val="24"/>
          <w:szCs w:val="24"/>
          <w:lang w:val="tr-TR"/>
        </w:rPr>
        <w:t xml:space="preserve"> bulunan </w:t>
      </w:r>
      <w:proofErr w:type="spellStart"/>
      <w:r w:rsidRPr="00A763C5">
        <w:rPr>
          <w:rFonts w:ascii="Times New Roman" w:hAnsi="Times New Roman"/>
          <w:spacing w:val="0"/>
          <w:position w:val="0"/>
          <w:sz w:val="24"/>
          <w:szCs w:val="24"/>
          <w:lang w:val="tr-TR"/>
        </w:rPr>
        <w:t>termoregülatuvar</w:t>
      </w:r>
      <w:proofErr w:type="spellEnd"/>
      <w:r w:rsidRPr="00A763C5">
        <w:rPr>
          <w:rFonts w:ascii="Times New Roman" w:hAnsi="Times New Roman"/>
          <w:spacing w:val="0"/>
          <w:position w:val="0"/>
          <w:sz w:val="24"/>
          <w:szCs w:val="24"/>
          <w:lang w:val="tr-TR"/>
        </w:rPr>
        <w:t xml:space="preserve"> merkez üzerinde, ciltte artan kan akımı, terleme ve ısı kaybına yol açan </w:t>
      </w:r>
      <w:proofErr w:type="spellStart"/>
      <w:r w:rsidRPr="00A763C5">
        <w:rPr>
          <w:rFonts w:ascii="Times New Roman" w:hAnsi="Times New Roman"/>
          <w:spacing w:val="0"/>
          <w:position w:val="0"/>
          <w:sz w:val="24"/>
          <w:szCs w:val="24"/>
          <w:lang w:val="tr-TR"/>
        </w:rPr>
        <w:t>periferik</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vazodilatasyon</w:t>
      </w:r>
      <w:proofErr w:type="spellEnd"/>
      <w:r w:rsidRPr="00A763C5">
        <w:rPr>
          <w:rFonts w:ascii="Times New Roman" w:hAnsi="Times New Roman"/>
          <w:spacing w:val="0"/>
          <w:position w:val="0"/>
          <w:sz w:val="24"/>
          <w:szCs w:val="24"/>
          <w:lang w:val="tr-TR"/>
        </w:rPr>
        <w:t xml:space="preserve"> oluşturarak gösterir. Bu merkezi etki, muhtemelen </w:t>
      </w:r>
      <w:proofErr w:type="spellStart"/>
      <w:r w:rsidRPr="00A763C5">
        <w:rPr>
          <w:rFonts w:ascii="Times New Roman" w:hAnsi="Times New Roman"/>
          <w:spacing w:val="0"/>
          <w:position w:val="0"/>
          <w:sz w:val="24"/>
          <w:szCs w:val="24"/>
          <w:lang w:val="tr-TR"/>
        </w:rPr>
        <w:t>hipotalamusta</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prostaglandin</w:t>
      </w:r>
      <w:proofErr w:type="spellEnd"/>
      <w:r w:rsidRPr="00A763C5">
        <w:rPr>
          <w:rFonts w:ascii="Times New Roman" w:hAnsi="Times New Roman"/>
          <w:spacing w:val="0"/>
          <w:position w:val="0"/>
          <w:sz w:val="24"/>
          <w:szCs w:val="24"/>
          <w:lang w:val="tr-TR"/>
        </w:rPr>
        <w:t xml:space="preserve"> sentezinin </w:t>
      </w:r>
      <w:proofErr w:type="spellStart"/>
      <w:r w:rsidRPr="00A763C5">
        <w:rPr>
          <w:rFonts w:ascii="Times New Roman" w:hAnsi="Times New Roman"/>
          <w:spacing w:val="0"/>
          <w:position w:val="0"/>
          <w:sz w:val="24"/>
          <w:szCs w:val="24"/>
          <w:lang w:val="tr-TR"/>
        </w:rPr>
        <w:t>inhibisyonunu</w:t>
      </w:r>
      <w:proofErr w:type="spellEnd"/>
      <w:r w:rsidRPr="00A763C5">
        <w:rPr>
          <w:rFonts w:ascii="Times New Roman" w:hAnsi="Times New Roman"/>
          <w:spacing w:val="0"/>
          <w:position w:val="0"/>
          <w:sz w:val="24"/>
          <w:szCs w:val="24"/>
          <w:lang w:val="tr-TR"/>
        </w:rPr>
        <w:t xml:space="preserve"> da içerir.</w:t>
      </w:r>
    </w:p>
    <w:p w:rsidR="00446A41" w:rsidRPr="00A763C5" w:rsidRDefault="00446A41" w:rsidP="00250803">
      <w:pPr>
        <w:tabs>
          <w:tab w:val="left" w:pos="1200"/>
        </w:tabs>
        <w:spacing w:line="276" w:lineRule="auto"/>
        <w:jc w:val="both"/>
        <w:rPr>
          <w:rFonts w:ascii="Times New Roman" w:hAnsi="Times New Roman"/>
          <w:spacing w:val="0"/>
          <w:position w:val="0"/>
          <w:sz w:val="24"/>
          <w:szCs w:val="24"/>
          <w:lang w:val="tr-TR"/>
        </w:rPr>
      </w:pPr>
    </w:p>
    <w:p w:rsidR="00073968" w:rsidRPr="00A763C5" w:rsidRDefault="00073968" w:rsidP="00250803">
      <w:pPr>
        <w:tabs>
          <w:tab w:val="left" w:pos="1200"/>
        </w:tabs>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5.2</w:t>
      </w:r>
      <w:r w:rsidR="000A3A7F"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Farmakokinetik </w:t>
      </w:r>
      <w:r w:rsidR="000A3A7F" w:rsidRPr="00A763C5">
        <w:rPr>
          <w:rFonts w:ascii="Times New Roman" w:hAnsi="Times New Roman"/>
          <w:b/>
          <w:spacing w:val="0"/>
          <w:position w:val="0"/>
          <w:sz w:val="24"/>
          <w:szCs w:val="24"/>
          <w:lang w:val="tr-TR"/>
        </w:rPr>
        <w:t>ö</w:t>
      </w:r>
      <w:r w:rsidRPr="00A763C5">
        <w:rPr>
          <w:rFonts w:ascii="Times New Roman" w:hAnsi="Times New Roman"/>
          <w:b/>
          <w:spacing w:val="0"/>
          <w:position w:val="0"/>
          <w:sz w:val="24"/>
          <w:szCs w:val="24"/>
          <w:lang w:val="tr-TR"/>
        </w:rPr>
        <w:t>zellikler</w:t>
      </w:r>
    </w:p>
    <w:p w:rsidR="00095556" w:rsidRPr="00A763C5" w:rsidRDefault="00095556" w:rsidP="00250803">
      <w:pPr>
        <w:tabs>
          <w:tab w:val="left" w:pos="1200"/>
        </w:tabs>
        <w:spacing w:line="276" w:lineRule="auto"/>
        <w:jc w:val="both"/>
        <w:rPr>
          <w:rFonts w:ascii="Times New Roman" w:hAnsi="Times New Roman"/>
          <w:spacing w:val="0"/>
          <w:position w:val="0"/>
          <w:sz w:val="24"/>
          <w:szCs w:val="24"/>
          <w:u w:val="single"/>
          <w:lang w:val="tr-TR"/>
        </w:rPr>
      </w:pPr>
      <w:r w:rsidRPr="00A763C5">
        <w:rPr>
          <w:rFonts w:ascii="Times New Roman" w:hAnsi="Times New Roman"/>
          <w:spacing w:val="0"/>
          <w:position w:val="0"/>
          <w:sz w:val="24"/>
          <w:szCs w:val="24"/>
          <w:u w:val="single"/>
          <w:lang w:val="tr-TR"/>
        </w:rPr>
        <w:t>Emilim:</w:t>
      </w:r>
    </w:p>
    <w:p w:rsidR="004A46CD"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Parasetamol, oral yoldan alındıktan sonra başlıca ince ba</w:t>
      </w:r>
      <w:r w:rsidR="004A46CD" w:rsidRPr="00A763C5">
        <w:rPr>
          <w:rFonts w:ascii="Times New Roman" w:hAnsi="Times New Roman"/>
          <w:spacing w:val="0"/>
          <w:position w:val="0"/>
          <w:sz w:val="24"/>
          <w:szCs w:val="24"/>
          <w:lang w:val="tr-TR"/>
        </w:rPr>
        <w:t>ğı</w:t>
      </w:r>
      <w:r w:rsidRPr="00A763C5">
        <w:rPr>
          <w:rFonts w:ascii="Times New Roman" w:hAnsi="Times New Roman"/>
          <w:spacing w:val="0"/>
          <w:position w:val="0"/>
          <w:sz w:val="24"/>
          <w:szCs w:val="24"/>
          <w:lang w:val="tr-TR"/>
        </w:rPr>
        <w:t xml:space="preserve">rsaklardan pasif difüzyon ile hızla ve tamamen </w:t>
      </w:r>
      <w:proofErr w:type="spellStart"/>
      <w:r w:rsidRPr="00A763C5">
        <w:rPr>
          <w:rFonts w:ascii="Times New Roman" w:hAnsi="Times New Roman"/>
          <w:spacing w:val="0"/>
          <w:position w:val="0"/>
          <w:sz w:val="24"/>
          <w:szCs w:val="24"/>
          <w:lang w:val="tr-TR"/>
        </w:rPr>
        <w:t>absorbe</w:t>
      </w:r>
      <w:proofErr w:type="spellEnd"/>
      <w:r w:rsidRPr="00A763C5">
        <w:rPr>
          <w:rFonts w:ascii="Times New Roman" w:hAnsi="Times New Roman"/>
          <w:spacing w:val="0"/>
          <w:position w:val="0"/>
          <w:sz w:val="24"/>
          <w:szCs w:val="24"/>
          <w:lang w:val="tr-TR"/>
        </w:rPr>
        <w:t xml:space="preserve"> olur. Mide boşalma hızı, oral yoldan uygulanan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emilimi</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için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hız</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sınırlayıcı</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bir</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ölçüttür.</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İlaç,</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alındıktan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0,5</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saat</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1,5</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saat</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sonra maksimum</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serum</w:t>
      </w:r>
      <w:r w:rsidR="00863FD5"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konsantrasyonlarına</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ulaşır.</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Değişen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oranlarda</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ilk</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geçiş metabolizmasına uğrar. Erişkinlerdeki oral biyoyararlanımın uygulanan parasetamol miktarına bağlı olduğu görülmektedir. Oral </w:t>
      </w:r>
      <w:proofErr w:type="spellStart"/>
      <w:r w:rsidRPr="00A763C5">
        <w:rPr>
          <w:rFonts w:ascii="Times New Roman" w:hAnsi="Times New Roman"/>
          <w:spacing w:val="0"/>
          <w:position w:val="0"/>
          <w:sz w:val="24"/>
          <w:szCs w:val="24"/>
          <w:lang w:val="tr-TR"/>
        </w:rPr>
        <w:t>biyoyararlanımı</w:t>
      </w:r>
      <w:proofErr w:type="spellEnd"/>
      <w:r w:rsidRPr="00A763C5">
        <w:rPr>
          <w:rFonts w:ascii="Times New Roman" w:hAnsi="Times New Roman"/>
          <w:spacing w:val="0"/>
          <w:position w:val="0"/>
          <w:sz w:val="24"/>
          <w:szCs w:val="24"/>
          <w:lang w:val="tr-TR"/>
        </w:rPr>
        <w:t xml:space="preserve">, 500 </w:t>
      </w:r>
      <w:proofErr w:type="spellStart"/>
      <w:r w:rsidRPr="00A763C5">
        <w:rPr>
          <w:rFonts w:ascii="Times New Roman" w:hAnsi="Times New Roman"/>
          <w:spacing w:val="0"/>
          <w:position w:val="0"/>
          <w:sz w:val="24"/>
          <w:szCs w:val="24"/>
          <w:lang w:val="tr-TR"/>
        </w:rPr>
        <w:t>mg</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lık</w:t>
      </w:r>
      <w:proofErr w:type="spellEnd"/>
      <w:r w:rsidRPr="00A763C5">
        <w:rPr>
          <w:rFonts w:ascii="Times New Roman" w:hAnsi="Times New Roman"/>
          <w:spacing w:val="0"/>
          <w:position w:val="0"/>
          <w:sz w:val="24"/>
          <w:szCs w:val="24"/>
          <w:lang w:val="tr-TR"/>
        </w:rPr>
        <w:t xml:space="preserve"> dozdan sonra</w:t>
      </w:r>
      <w:r w:rsidR="00863FD5"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%63 iken, 1-2 </w:t>
      </w:r>
      <w:proofErr w:type="spellStart"/>
      <w:r w:rsidRPr="00A763C5">
        <w:rPr>
          <w:rFonts w:ascii="Times New Roman" w:hAnsi="Times New Roman"/>
          <w:spacing w:val="0"/>
          <w:position w:val="0"/>
          <w:sz w:val="24"/>
          <w:szCs w:val="24"/>
          <w:lang w:val="tr-TR"/>
        </w:rPr>
        <w:t>g</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lık</w:t>
      </w:r>
      <w:proofErr w:type="spellEnd"/>
      <w:r w:rsidRPr="00A763C5">
        <w:rPr>
          <w:rFonts w:ascii="Times New Roman" w:hAnsi="Times New Roman"/>
          <w:spacing w:val="0"/>
          <w:position w:val="0"/>
          <w:sz w:val="24"/>
          <w:szCs w:val="24"/>
          <w:lang w:val="tr-TR"/>
        </w:rPr>
        <w:t xml:space="preserve"> (tablet formu) dozdan sonra %90</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a yükselir.</w:t>
      </w:r>
    </w:p>
    <w:p w:rsidR="004A46CD" w:rsidRPr="00A763C5" w:rsidRDefault="004A46CD" w:rsidP="00250803">
      <w:pPr>
        <w:tabs>
          <w:tab w:val="left" w:pos="1200"/>
        </w:tabs>
        <w:spacing w:line="276" w:lineRule="auto"/>
        <w:jc w:val="both"/>
        <w:rPr>
          <w:rFonts w:ascii="Times New Roman" w:hAnsi="Times New Roman"/>
          <w:spacing w:val="0"/>
          <w:position w:val="0"/>
          <w:sz w:val="24"/>
          <w:szCs w:val="24"/>
          <w:lang w:val="tr-TR"/>
        </w:rPr>
      </w:pPr>
    </w:p>
    <w:p w:rsidR="00095556" w:rsidRPr="00A763C5" w:rsidRDefault="00095556" w:rsidP="00250803">
      <w:pPr>
        <w:tabs>
          <w:tab w:val="left" w:pos="1200"/>
        </w:tabs>
        <w:spacing w:line="276" w:lineRule="auto"/>
        <w:jc w:val="both"/>
        <w:rPr>
          <w:rFonts w:ascii="Times New Roman" w:hAnsi="Times New Roman"/>
          <w:spacing w:val="0"/>
          <w:position w:val="0"/>
          <w:sz w:val="24"/>
          <w:szCs w:val="24"/>
          <w:u w:val="single"/>
          <w:lang w:val="tr-TR"/>
        </w:rPr>
      </w:pPr>
      <w:r w:rsidRPr="00A763C5">
        <w:rPr>
          <w:rFonts w:ascii="Times New Roman" w:hAnsi="Times New Roman"/>
          <w:spacing w:val="0"/>
          <w:position w:val="0"/>
          <w:sz w:val="24"/>
          <w:szCs w:val="24"/>
          <w:u w:val="single"/>
          <w:lang w:val="tr-TR"/>
        </w:rPr>
        <w:t>Dağılım:</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Parasetamol vücut sıvılarına eşit miktarda dağılır. Tahmini dağılım hacmi 0,95 L/</w:t>
      </w:r>
      <w:proofErr w:type="spellStart"/>
      <w:r w:rsidRPr="00A763C5">
        <w:rPr>
          <w:rFonts w:ascii="Times New Roman" w:hAnsi="Times New Roman"/>
          <w:spacing w:val="0"/>
          <w:position w:val="0"/>
          <w:sz w:val="24"/>
          <w:szCs w:val="24"/>
          <w:lang w:val="tr-TR"/>
        </w:rPr>
        <w:t>kg</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dir</w:t>
      </w:r>
      <w:proofErr w:type="spellEnd"/>
      <w:r w:rsidRPr="00A763C5">
        <w:rPr>
          <w:rFonts w:ascii="Times New Roman" w:hAnsi="Times New Roman"/>
          <w:spacing w:val="0"/>
          <w:position w:val="0"/>
          <w:sz w:val="24"/>
          <w:szCs w:val="24"/>
          <w:lang w:val="tr-TR"/>
        </w:rPr>
        <w:t xml:space="preserve">. Çocuklarda ve yeni doğanlarda da dağılım kinetiği (Vd/ F) erişkinlerdekine benzerdir.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plazma proteinlerine bağlanma oranı düşüktür.</w:t>
      </w:r>
    </w:p>
    <w:p w:rsidR="00863FD5" w:rsidRPr="00A763C5" w:rsidRDefault="00863FD5" w:rsidP="00250803">
      <w:pPr>
        <w:tabs>
          <w:tab w:val="left" w:pos="1200"/>
        </w:tabs>
        <w:spacing w:line="276" w:lineRule="auto"/>
        <w:jc w:val="both"/>
        <w:rPr>
          <w:rFonts w:ascii="Times New Roman" w:hAnsi="Times New Roman"/>
          <w:spacing w:val="0"/>
          <w:position w:val="0"/>
          <w:sz w:val="24"/>
          <w:szCs w:val="24"/>
          <w:u w:val="single"/>
          <w:lang w:val="tr-TR"/>
        </w:rPr>
      </w:pP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u w:val="single"/>
          <w:lang w:val="tr-TR"/>
        </w:rPr>
        <w:t>Biyotransformasyon:</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Parasetamol başlıca karaciğerde metabolize olur.</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Karaciğer ve böbrekte genellikle, sitokrom P450 (CYP) mikrozomal enzim sistemi (temel olarak CYP2E1 ve CYP3A4) ile hidroksilli </w:t>
      </w:r>
      <w:proofErr w:type="spellStart"/>
      <w:r w:rsidRPr="00A763C5">
        <w:rPr>
          <w:rFonts w:ascii="Times New Roman" w:hAnsi="Times New Roman"/>
          <w:spacing w:val="0"/>
          <w:position w:val="0"/>
          <w:sz w:val="24"/>
          <w:szCs w:val="24"/>
          <w:lang w:val="tr-TR"/>
        </w:rPr>
        <w:t>metabolitler</w:t>
      </w:r>
      <w:proofErr w:type="spellEnd"/>
      <w:r w:rsidRPr="00A763C5">
        <w:rPr>
          <w:rFonts w:ascii="Times New Roman" w:hAnsi="Times New Roman"/>
          <w:spacing w:val="0"/>
          <w:position w:val="0"/>
          <w:sz w:val="24"/>
          <w:szCs w:val="24"/>
          <w:lang w:val="tr-TR"/>
        </w:rPr>
        <w:t xml:space="preserve"> üretilir (N-</w:t>
      </w:r>
      <w:proofErr w:type="spellStart"/>
      <w:r w:rsidRPr="00A763C5">
        <w:rPr>
          <w:rFonts w:ascii="Times New Roman" w:hAnsi="Times New Roman"/>
          <w:spacing w:val="0"/>
          <w:position w:val="0"/>
          <w:sz w:val="24"/>
          <w:szCs w:val="24"/>
          <w:lang w:val="tr-TR"/>
        </w:rPr>
        <w:t>asetil</w:t>
      </w:r>
      <w:proofErr w:type="spellEnd"/>
      <w:r w:rsidRPr="00A763C5">
        <w:rPr>
          <w:rFonts w:ascii="Times New Roman" w:hAnsi="Times New Roman"/>
          <w:spacing w:val="0"/>
          <w:position w:val="0"/>
          <w:sz w:val="24"/>
          <w:szCs w:val="24"/>
          <w:lang w:val="tr-TR"/>
        </w:rPr>
        <w:t xml:space="preserve">-p- </w:t>
      </w:r>
      <w:proofErr w:type="spellStart"/>
      <w:r w:rsidRPr="00A763C5">
        <w:rPr>
          <w:rFonts w:ascii="Times New Roman" w:hAnsi="Times New Roman"/>
          <w:spacing w:val="0"/>
          <w:position w:val="0"/>
          <w:sz w:val="24"/>
          <w:szCs w:val="24"/>
          <w:lang w:val="tr-TR"/>
        </w:rPr>
        <w:t>benzokinonimin</w:t>
      </w:r>
      <w:proofErr w:type="spellEnd"/>
      <w:r w:rsidRPr="00A763C5">
        <w:rPr>
          <w:rFonts w:ascii="Times New Roman" w:hAnsi="Times New Roman"/>
          <w:spacing w:val="0"/>
          <w:position w:val="0"/>
          <w:sz w:val="24"/>
          <w:szCs w:val="24"/>
          <w:lang w:val="tr-TR"/>
        </w:rPr>
        <w:t>).</w:t>
      </w:r>
      <w:r w:rsidR="004A46CD"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Konjugasyon</w:t>
      </w:r>
      <w:proofErr w:type="spellEnd"/>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ile</w:t>
      </w:r>
      <w:r w:rsidR="004A46CD"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detoksifiye</w:t>
      </w:r>
      <w:proofErr w:type="spellEnd"/>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edilmekle</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birlikte,</w:t>
      </w:r>
      <w:r w:rsidR="004A46CD"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parasetamol</w:t>
      </w:r>
      <w:proofErr w:type="spellEnd"/>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doz aşımını takiben birikerek doku hasarına sebep olabilir.</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lastRenderedPageBreak/>
        <w:t xml:space="preserve">Uygulanan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%10</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 xml:space="preserve">u, minör bir yolakla, CYP sistemi ile reaktif bir metabolit olan asetamidokinona dönüşür. Bu </w:t>
      </w:r>
      <w:proofErr w:type="spellStart"/>
      <w:r w:rsidRPr="00A763C5">
        <w:rPr>
          <w:rFonts w:ascii="Times New Roman" w:hAnsi="Times New Roman"/>
          <w:spacing w:val="0"/>
          <w:position w:val="0"/>
          <w:sz w:val="24"/>
          <w:szCs w:val="24"/>
          <w:lang w:val="tr-TR"/>
        </w:rPr>
        <w:t>metabolit</w:t>
      </w:r>
      <w:proofErr w:type="spellEnd"/>
      <w:r w:rsidRPr="00A763C5">
        <w:rPr>
          <w:rFonts w:ascii="Times New Roman" w:hAnsi="Times New Roman"/>
          <w:spacing w:val="0"/>
          <w:position w:val="0"/>
          <w:sz w:val="24"/>
          <w:szCs w:val="24"/>
          <w:lang w:val="tr-TR"/>
        </w:rPr>
        <w:t xml:space="preserve">, indirgenmiş </w:t>
      </w:r>
      <w:proofErr w:type="spellStart"/>
      <w:r w:rsidRPr="00A763C5">
        <w:rPr>
          <w:rFonts w:ascii="Times New Roman" w:hAnsi="Times New Roman"/>
          <w:spacing w:val="0"/>
          <w:position w:val="0"/>
          <w:sz w:val="24"/>
          <w:szCs w:val="24"/>
          <w:lang w:val="tr-TR"/>
        </w:rPr>
        <w:t>glutatyonla</w:t>
      </w:r>
      <w:proofErr w:type="spellEnd"/>
      <w:r w:rsidRPr="00A763C5">
        <w:rPr>
          <w:rFonts w:ascii="Times New Roman" w:hAnsi="Times New Roman"/>
          <w:spacing w:val="0"/>
          <w:position w:val="0"/>
          <w:sz w:val="24"/>
          <w:szCs w:val="24"/>
          <w:lang w:val="tr-TR"/>
        </w:rPr>
        <w:t xml:space="preserve"> hızlıca </w:t>
      </w:r>
      <w:proofErr w:type="spellStart"/>
      <w:r w:rsidRPr="00A763C5">
        <w:rPr>
          <w:rFonts w:ascii="Times New Roman" w:hAnsi="Times New Roman"/>
          <w:spacing w:val="0"/>
          <w:position w:val="0"/>
          <w:sz w:val="24"/>
          <w:szCs w:val="24"/>
          <w:lang w:val="tr-TR"/>
        </w:rPr>
        <w:t>konjüge</w:t>
      </w:r>
      <w:proofErr w:type="spellEnd"/>
      <w:r w:rsidRPr="00A763C5">
        <w:rPr>
          <w:rFonts w:ascii="Times New Roman" w:hAnsi="Times New Roman"/>
          <w:spacing w:val="0"/>
          <w:position w:val="0"/>
          <w:sz w:val="24"/>
          <w:szCs w:val="24"/>
          <w:lang w:val="tr-TR"/>
        </w:rPr>
        <w:t xml:space="preserve"> olur ve </w:t>
      </w:r>
      <w:proofErr w:type="spellStart"/>
      <w:r w:rsidRPr="00A763C5">
        <w:rPr>
          <w:rFonts w:ascii="Times New Roman" w:hAnsi="Times New Roman"/>
          <w:spacing w:val="0"/>
          <w:position w:val="0"/>
          <w:sz w:val="24"/>
          <w:szCs w:val="24"/>
          <w:lang w:val="tr-TR"/>
        </w:rPr>
        <w:t>sistein</w:t>
      </w:r>
      <w:proofErr w:type="spellEnd"/>
      <w:r w:rsidRPr="00A763C5">
        <w:rPr>
          <w:rFonts w:ascii="Times New Roman" w:hAnsi="Times New Roman"/>
          <w:spacing w:val="0"/>
          <w:position w:val="0"/>
          <w:sz w:val="24"/>
          <w:szCs w:val="24"/>
          <w:lang w:val="tr-TR"/>
        </w:rPr>
        <w:t xml:space="preserve"> ve merkaptürik asit konjugatları olarak atılır. Yüksek miktarda </w:t>
      </w:r>
      <w:proofErr w:type="spellStart"/>
      <w:r w:rsidRPr="00A763C5">
        <w:rPr>
          <w:rFonts w:ascii="Times New Roman" w:hAnsi="Times New Roman"/>
          <w:spacing w:val="0"/>
          <w:position w:val="0"/>
          <w:sz w:val="24"/>
          <w:szCs w:val="24"/>
          <w:lang w:val="tr-TR"/>
        </w:rPr>
        <w:t>parasetamol</w:t>
      </w:r>
      <w:proofErr w:type="spellEnd"/>
      <w:r w:rsidRPr="00A763C5">
        <w:rPr>
          <w:rFonts w:ascii="Times New Roman" w:hAnsi="Times New Roman"/>
          <w:spacing w:val="0"/>
          <w:position w:val="0"/>
          <w:sz w:val="24"/>
          <w:szCs w:val="24"/>
          <w:lang w:val="tr-TR"/>
        </w:rPr>
        <w:t xml:space="preserve"> kullanıldığında </w:t>
      </w:r>
      <w:proofErr w:type="spellStart"/>
      <w:r w:rsidRPr="00A763C5">
        <w:rPr>
          <w:rFonts w:ascii="Times New Roman" w:hAnsi="Times New Roman"/>
          <w:spacing w:val="0"/>
          <w:position w:val="0"/>
          <w:sz w:val="24"/>
          <w:szCs w:val="24"/>
          <w:lang w:val="tr-TR"/>
        </w:rPr>
        <w:t>hepatik</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glutatyon</w:t>
      </w:r>
      <w:proofErr w:type="spellEnd"/>
      <w:r w:rsidRPr="00A763C5">
        <w:rPr>
          <w:rFonts w:ascii="Times New Roman" w:hAnsi="Times New Roman"/>
          <w:spacing w:val="0"/>
          <w:position w:val="0"/>
          <w:sz w:val="24"/>
          <w:szCs w:val="24"/>
          <w:lang w:val="tr-TR"/>
        </w:rPr>
        <w:t xml:space="preserve"> tükenir ve </w:t>
      </w:r>
      <w:proofErr w:type="spellStart"/>
      <w:r w:rsidRPr="00A763C5">
        <w:rPr>
          <w:rFonts w:ascii="Times New Roman" w:hAnsi="Times New Roman"/>
          <w:spacing w:val="0"/>
          <w:position w:val="0"/>
          <w:sz w:val="24"/>
          <w:szCs w:val="24"/>
          <w:lang w:val="tr-TR"/>
        </w:rPr>
        <w:t>hepatosit</w:t>
      </w:r>
      <w:proofErr w:type="spellEnd"/>
      <w:r w:rsidRPr="00A763C5">
        <w:rPr>
          <w:rFonts w:ascii="Times New Roman" w:hAnsi="Times New Roman"/>
          <w:spacing w:val="0"/>
          <w:position w:val="0"/>
          <w:sz w:val="24"/>
          <w:szCs w:val="24"/>
          <w:lang w:val="tr-TR"/>
        </w:rPr>
        <w:t xml:space="preserve"> içinde </w:t>
      </w:r>
      <w:proofErr w:type="spellStart"/>
      <w:r w:rsidRPr="00A763C5">
        <w:rPr>
          <w:rFonts w:ascii="Times New Roman" w:hAnsi="Times New Roman"/>
          <w:spacing w:val="0"/>
          <w:position w:val="0"/>
          <w:sz w:val="24"/>
          <w:szCs w:val="24"/>
          <w:lang w:val="tr-TR"/>
        </w:rPr>
        <w:t>asetamidokinon</w:t>
      </w:r>
      <w:proofErr w:type="spellEnd"/>
      <w:r w:rsidRPr="00A763C5">
        <w:rPr>
          <w:rFonts w:ascii="Times New Roman" w:hAnsi="Times New Roman"/>
          <w:spacing w:val="0"/>
          <w:position w:val="0"/>
          <w:sz w:val="24"/>
          <w:szCs w:val="24"/>
          <w:lang w:val="tr-TR"/>
        </w:rPr>
        <w:t xml:space="preserve"> birikimine neden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olur.</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Biriken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bu</w:t>
      </w:r>
      <w:r w:rsidR="004A46CD"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asetamidokinon</w:t>
      </w:r>
      <w:proofErr w:type="spellEnd"/>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yaşamsal</w:t>
      </w:r>
      <w:r w:rsidR="004A46CD"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hepatoselüler</w:t>
      </w:r>
      <w:proofErr w:type="spellEnd"/>
      <w:r w:rsidR="004A46CD"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makromoleküllere</w:t>
      </w:r>
      <w:proofErr w:type="spellEnd"/>
      <w:r w:rsidRPr="00A763C5">
        <w:rPr>
          <w:rFonts w:ascii="Times New Roman" w:hAnsi="Times New Roman"/>
          <w:spacing w:val="0"/>
          <w:position w:val="0"/>
          <w:sz w:val="24"/>
          <w:szCs w:val="24"/>
          <w:lang w:val="tr-TR"/>
        </w:rPr>
        <w:t xml:space="preserve"> kovalan olarak bağlanır ve doz aşımı durumunda görülebilen hepatik nekroza yol açar. Çocuklarda (3-10 yaş) ve yeni doğanlarda (0-2 gün)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başlıca </w:t>
      </w:r>
      <w:proofErr w:type="spellStart"/>
      <w:r w:rsidRPr="00A763C5">
        <w:rPr>
          <w:rFonts w:ascii="Times New Roman" w:hAnsi="Times New Roman"/>
          <w:spacing w:val="0"/>
          <w:position w:val="0"/>
          <w:sz w:val="24"/>
          <w:szCs w:val="24"/>
          <w:lang w:val="tr-TR"/>
        </w:rPr>
        <w:t>metaboliti</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parasetamol</w:t>
      </w:r>
      <w:proofErr w:type="spellEnd"/>
      <w:r w:rsidRPr="00A763C5">
        <w:rPr>
          <w:rFonts w:ascii="Times New Roman" w:hAnsi="Times New Roman"/>
          <w:spacing w:val="0"/>
          <w:position w:val="0"/>
          <w:sz w:val="24"/>
          <w:szCs w:val="24"/>
          <w:lang w:val="tr-TR"/>
        </w:rPr>
        <w:t xml:space="preserve"> sülfattır.</w:t>
      </w:r>
    </w:p>
    <w:p w:rsidR="00672172" w:rsidRPr="00A763C5" w:rsidRDefault="00672172" w:rsidP="00250803">
      <w:pPr>
        <w:tabs>
          <w:tab w:val="left" w:pos="1200"/>
        </w:tabs>
        <w:spacing w:line="276" w:lineRule="auto"/>
        <w:jc w:val="both"/>
        <w:rPr>
          <w:rFonts w:ascii="Times New Roman" w:hAnsi="Times New Roman"/>
          <w:spacing w:val="0"/>
          <w:position w:val="0"/>
          <w:sz w:val="24"/>
          <w:szCs w:val="24"/>
          <w:lang w:val="tr-TR"/>
        </w:rPr>
      </w:pP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u w:val="single"/>
          <w:lang w:val="tr-TR"/>
        </w:rPr>
        <w:t>Eliminasyon:</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Oral yolla alındıktan sonra ilacın plazma yarılanma ömrü 1,5 – 2,5 saat arasındadır.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%80</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inden fazlası 24 saat</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içinde elimine olur. Karaciğer veya böbrek fonksiyonu bozulmuş olan hastalarda bu eliminasyon gecikir.</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1000 mg i.</w:t>
      </w:r>
      <w:proofErr w:type="spellStart"/>
      <w:r w:rsidRPr="00A763C5">
        <w:rPr>
          <w:rFonts w:ascii="Times New Roman" w:hAnsi="Times New Roman"/>
          <w:spacing w:val="0"/>
          <w:position w:val="0"/>
          <w:sz w:val="24"/>
          <w:szCs w:val="24"/>
          <w:lang w:val="tr-TR"/>
        </w:rPr>
        <w:t>v</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lik</w:t>
      </w:r>
      <w:proofErr w:type="spellEnd"/>
      <w:r w:rsidRPr="00A763C5">
        <w:rPr>
          <w:rFonts w:ascii="Times New Roman" w:hAnsi="Times New Roman"/>
          <w:spacing w:val="0"/>
          <w:position w:val="0"/>
          <w:sz w:val="24"/>
          <w:szCs w:val="24"/>
          <w:lang w:val="tr-TR"/>
        </w:rPr>
        <w:t xml:space="preserve"> tez dozu takiben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total vücut </w:t>
      </w:r>
      <w:proofErr w:type="spellStart"/>
      <w:r w:rsidRPr="00A763C5">
        <w:rPr>
          <w:rFonts w:ascii="Times New Roman" w:hAnsi="Times New Roman"/>
          <w:spacing w:val="0"/>
          <w:position w:val="0"/>
          <w:sz w:val="24"/>
          <w:szCs w:val="24"/>
          <w:lang w:val="tr-TR"/>
        </w:rPr>
        <w:t>klerensi</w:t>
      </w:r>
      <w:proofErr w:type="spellEnd"/>
      <w:r w:rsidRPr="00A763C5">
        <w:rPr>
          <w:rFonts w:ascii="Times New Roman" w:hAnsi="Times New Roman"/>
          <w:spacing w:val="0"/>
          <w:position w:val="0"/>
          <w:sz w:val="24"/>
          <w:szCs w:val="24"/>
          <w:lang w:val="tr-TR"/>
        </w:rPr>
        <w:t xml:space="preserve"> yaklaşık 5 ml/</w:t>
      </w:r>
      <w:proofErr w:type="spellStart"/>
      <w:r w:rsidRPr="00A763C5">
        <w:rPr>
          <w:rFonts w:ascii="Times New Roman" w:hAnsi="Times New Roman"/>
          <w:spacing w:val="0"/>
          <w:position w:val="0"/>
          <w:sz w:val="24"/>
          <w:szCs w:val="24"/>
          <w:lang w:val="tr-TR"/>
        </w:rPr>
        <w:t>dk</w:t>
      </w:r>
      <w:proofErr w:type="spellEnd"/>
      <w:r w:rsidRPr="00A763C5">
        <w:rPr>
          <w:rFonts w:ascii="Times New Roman" w:hAnsi="Times New Roman"/>
          <w:spacing w:val="0"/>
          <w:position w:val="0"/>
          <w:sz w:val="24"/>
          <w:szCs w:val="24"/>
          <w:lang w:val="tr-TR"/>
        </w:rPr>
        <w:t>/</w:t>
      </w:r>
      <w:proofErr w:type="spellStart"/>
      <w:r w:rsidRPr="00A763C5">
        <w:rPr>
          <w:rFonts w:ascii="Times New Roman" w:hAnsi="Times New Roman"/>
          <w:spacing w:val="0"/>
          <w:position w:val="0"/>
          <w:sz w:val="24"/>
          <w:szCs w:val="24"/>
          <w:lang w:val="tr-TR"/>
        </w:rPr>
        <w:t>kg</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dır</w:t>
      </w:r>
      <w:proofErr w:type="spellEnd"/>
      <w:r w:rsidRPr="00A763C5">
        <w:rPr>
          <w:rFonts w:ascii="Times New Roman" w:hAnsi="Times New Roman"/>
          <w:spacing w:val="0"/>
          <w:position w:val="0"/>
          <w:sz w:val="24"/>
          <w:szCs w:val="24"/>
          <w:lang w:val="tr-TR"/>
        </w:rPr>
        <w:t>.</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Karaciğerde </w:t>
      </w:r>
      <w:proofErr w:type="spellStart"/>
      <w:r w:rsidRPr="00A763C5">
        <w:rPr>
          <w:rFonts w:ascii="Times New Roman" w:hAnsi="Times New Roman"/>
          <w:spacing w:val="0"/>
          <w:position w:val="0"/>
          <w:sz w:val="24"/>
          <w:szCs w:val="24"/>
          <w:lang w:val="tr-TR"/>
        </w:rPr>
        <w:t>enzimatik</w:t>
      </w:r>
      <w:proofErr w:type="spellEnd"/>
      <w:r w:rsidRPr="00A763C5">
        <w:rPr>
          <w:rFonts w:ascii="Times New Roman" w:hAnsi="Times New Roman"/>
          <w:spacing w:val="0"/>
          <w:position w:val="0"/>
          <w:sz w:val="24"/>
          <w:szCs w:val="24"/>
          <w:lang w:val="tr-TR"/>
        </w:rPr>
        <w:t xml:space="preserve"> transformasyondan sonra, </w:t>
      </w:r>
      <w:proofErr w:type="spellStart"/>
      <w:r w:rsidRPr="00A763C5">
        <w:rPr>
          <w:rFonts w:ascii="Times New Roman" w:hAnsi="Times New Roman"/>
          <w:spacing w:val="0"/>
          <w:position w:val="0"/>
          <w:sz w:val="24"/>
          <w:szCs w:val="24"/>
          <w:lang w:val="tr-TR"/>
        </w:rPr>
        <w:t>parasetamol</w:t>
      </w:r>
      <w:proofErr w:type="spellEnd"/>
      <w:r w:rsidRPr="00A763C5">
        <w:rPr>
          <w:rFonts w:ascii="Times New Roman" w:hAnsi="Times New Roman"/>
          <w:spacing w:val="0"/>
          <w:position w:val="0"/>
          <w:sz w:val="24"/>
          <w:szCs w:val="24"/>
          <w:lang w:val="tr-TR"/>
        </w:rPr>
        <w:t xml:space="preserve">, esas olarak </w:t>
      </w:r>
      <w:proofErr w:type="spellStart"/>
      <w:r w:rsidRPr="00A763C5">
        <w:rPr>
          <w:rFonts w:ascii="Times New Roman" w:hAnsi="Times New Roman"/>
          <w:spacing w:val="0"/>
          <w:position w:val="0"/>
          <w:sz w:val="24"/>
          <w:szCs w:val="24"/>
          <w:lang w:val="tr-TR"/>
        </w:rPr>
        <w:t>glukuronik</w:t>
      </w:r>
      <w:proofErr w:type="spellEnd"/>
      <w:r w:rsidRPr="00A763C5">
        <w:rPr>
          <w:rFonts w:ascii="Times New Roman" w:hAnsi="Times New Roman"/>
          <w:spacing w:val="0"/>
          <w:position w:val="0"/>
          <w:sz w:val="24"/>
          <w:szCs w:val="24"/>
          <w:lang w:val="tr-TR"/>
        </w:rPr>
        <w:t xml:space="preserve"> asit ve sülfürik asit konjugatları formunda ve sadece böbrekler kanalıyla elimine olur. Sağlıklı bireylerde terapötik dozun yaklaşık %85-95</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i 24 saat içinde idrarla atılır. İlacın sadece yaklaşık %1</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i - %3</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ü serbest ana madde formunda atılır.</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total eliminasyon hızı açısından çocuklarla erişkinler arasında yaşla ilişkili bir fark yoktur.</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u w:val="single"/>
          <w:lang w:val="tr-TR"/>
        </w:rPr>
        <w:t>Doğrusallık ve Doğrusal Olmayan Durum:</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Reaktif parasetamol metabolitlerinin karaciğer hücre proteinlerine bağlanması, hepatoselüler hasara sebep olur. Terapötik dozlarda, bu metabolitler, glutatyon tarafından bağlanır ve non</w:t>
      </w:r>
      <w:r w:rsidR="003B0EE5" w:rsidRPr="00A763C5">
        <w:rPr>
          <w:rFonts w:ascii="Times New Roman" w:hAnsi="Times New Roman"/>
          <w:spacing w:val="0"/>
          <w:position w:val="0"/>
          <w:sz w:val="24"/>
          <w:szCs w:val="24"/>
          <w:lang w:val="tr-TR"/>
        </w:rPr>
        <w:noBreakHyphen/>
      </w:r>
      <w:r w:rsidRPr="00A763C5">
        <w:rPr>
          <w:rFonts w:ascii="Times New Roman" w:hAnsi="Times New Roman"/>
          <w:spacing w:val="0"/>
          <w:position w:val="0"/>
          <w:sz w:val="24"/>
          <w:szCs w:val="24"/>
          <w:lang w:val="tr-TR"/>
        </w:rPr>
        <w:t>toksik konjugatlar oluştururlar. Ancak masif doz aşımı halinde, karaciğerin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(glutatyon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oluşumunu</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kolaylaştıran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ve</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teşvik</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eden)</w:t>
      </w:r>
      <w:r w:rsidR="004A46CD"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SH-donörleri deposu tükenir; ilacın toksik metabolitleri karaciğerde birikir ve karaciğer hücre nekrozu gelişir ve bu da, karaciğer fonksiyonunda bozulmaya ve giderek hepatik komaya kadar ilerler.</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Pozolojiye uygun kullanıldığında farmakokinetiği doğrusaldır.</w:t>
      </w:r>
    </w:p>
    <w:p w:rsidR="00095556" w:rsidRPr="00A763C5" w:rsidRDefault="00095556" w:rsidP="00250803">
      <w:pPr>
        <w:tabs>
          <w:tab w:val="left" w:pos="1200"/>
        </w:tabs>
        <w:spacing w:line="276" w:lineRule="auto"/>
        <w:jc w:val="both"/>
        <w:rPr>
          <w:rFonts w:ascii="Times New Roman" w:hAnsi="Times New Roman"/>
          <w:spacing w:val="0"/>
          <w:position w:val="0"/>
          <w:sz w:val="24"/>
          <w:szCs w:val="24"/>
          <w:lang w:val="tr-TR"/>
        </w:rPr>
      </w:pPr>
    </w:p>
    <w:p w:rsidR="00073968" w:rsidRPr="00A763C5" w:rsidRDefault="00073968" w:rsidP="00250803">
      <w:pPr>
        <w:tabs>
          <w:tab w:val="left" w:pos="1200"/>
        </w:tabs>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 xml:space="preserve">5.3. </w:t>
      </w:r>
      <w:r w:rsidR="00FF5152" w:rsidRPr="00A763C5">
        <w:rPr>
          <w:rFonts w:ascii="Times New Roman" w:hAnsi="Times New Roman"/>
          <w:b/>
          <w:spacing w:val="0"/>
          <w:position w:val="0"/>
          <w:sz w:val="24"/>
          <w:szCs w:val="24"/>
          <w:lang w:val="tr-TR"/>
        </w:rPr>
        <w:t xml:space="preserve">Klinik </w:t>
      </w:r>
      <w:r w:rsidR="003B0EE5" w:rsidRPr="00A763C5">
        <w:rPr>
          <w:rFonts w:ascii="Times New Roman" w:hAnsi="Times New Roman"/>
          <w:b/>
          <w:spacing w:val="0"/>
          <w:position w:val="0"/>
          <w:sz w:val="24"/>
          <w:szCs w:val="24"/>
          <w:lang w:val="tr-TR"/>
        </w:rPr>
        <w:t>ö</w:t>
      </w:r>
      <w:r w:rsidR="00FF5152" w:rsidRPr="00A763C5">
        <w:rPr>
          <w:rFonts w:ascii="Times New Roman" w:hAnsi="Times New Roman"/>
          <w:b/>
          <w:spacing w:val="0"/>
          <w:position w:val="0"/>
          <w:sz w:val="24"/>
          <w:szCs w:val="24"/>
          <w:lang w:val="tr-TR"/>
        </w:rPr>
        <w:t xml:space="preserve">ncesi </w:t>
      </w:r>
      <w:r w:rsidR="003B0EE5" w:rsidRPr="00A763C5">
        <w:rPr>
          <w:rFonts w:ascii="Times New Roman" w:hAnsi="Times New Roman"/>
          <w:b/>
          <w:spacing w:val="0"/>
          <w:position w:val="0"/>
          <w:sz w:val="24"/>
          <w:szCs w:val="24"/>
          <w:lang w:val="tr-TR"/>
        </w:rPr>
        <w:t>g</w:t>
      </w:r>
      <w:r w:rsidR="00FF5152" w:rsidRPr="00A763C5">
        <w:rPr>
          <w:rFonts w:ascii="Times New Roman" w:hAnsi="Times New Roman"/>
          <w:b/>
          <w:spacing w:val="0"/>
          <w:position w:val="0"/>
          <w:sz w:val="24"/>
          <w:szCs w:val="24"/>
          <w:lang w:val="tr-TR"/>
        </w:rPr>
        <w:t>üven</w:t>
      </w:r>
      <w:r w:rsidR="001E2C98" w:rsidRPr="00A763C5">
        <w:rPr>
          <w:rFonts w:ascii="Times New Roman" w:hAnsi="Times New Roman"/>
          <w:b/>
          <w:spacing w:val="0"/>
          <w:position w:val="0"/>
          <w:sz w:val="24"/>
          <w:szCs w:val="24"/>
          <w:lang w:val="tr-TR"/>
        </w:rPr>
        <w:t>li</w:t>
      </w:r>
      <w:r w:rsidR="00FF5152" w:rsidRPr="00A763C5">
        <w:rPr>
          <w:rFonts w:ascii="Times New Roman" w:hAnsi="Times New Roman"/>
          <w:b/>
          <w:spacing w:val="0"/>
          <w:position w:val="0"/>
          <w:sz w:val="24"/>
          <w:szCs w:val="24"/>
          <w:lang w:val="tr-TR"/>
        </w:rPr>
        <w:t xml:space="preserve">lik </w:t>
      </w:r>
      <w:r w:rsidR="003B0EE5" w:rsidRPr="00A763C5">
        <w:rPr>
          <w:rFonts w:ascii="Times New Roman" w:hAnsi="Times New Roman"/>
          <w:b/>
          <w:spacing w:val="0"/>
          <w:position w:val="0"/>
          <w:sz w:val="24"/>
          <w:szCs w:val="24"/>
          <w:lang w:val="tr-TR"/>
        </w:rPr>
        <w:t>v</w:t>
      </w:r>
      <w:r w:rsidR="00FF5152" w:rsidRPr="00A763C5">
        <w:rPr>
          <w:rFonts w:ascii="Times New Roman" w:hAnsi="Times New Roman"/>
          <w:b/>
          <w:spacing w:val="0"/>
          <w:position w:val="0"/>
          <w:sz w:val="24"/>
          <w:szCs w:val="24"/>
          <w:lang w:val="tr-TR"/>
        </w:rPr>
        <w:t>erileri</w:t>
      </w:r>
    </w:p>
    <w:p w:rsidR="003B0EE5" w:rsidRPr="00A763C5" w:rsidRDefault="003B0EE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Akut Toksisite:</w:t>
      </w:r>
    </w:p>
    <w:p w:rsidR="003B0EE5" w:rsidRPr="00A763C5" w:rsidRDefault="003B0EE5"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yetişkin sıçanlara ve kobaylara oral yoldan verildikten sonra hafif toksik olduğu saptanmıştır. Farelerde ve </w:t>
      </w:r>
      <w:proofErr w:type="spellStart"/>
      <w:r w:rsidRPr="00A763C5">
        <w:rPr>
          <w:rFonts w:ascii="Times New Roman" w:hAnsi="Times New Roman"/>
          <w:spacing w:val="0"/>
          <w:position w:val="0"/>
          <w:sz w:val="24"/>
          <w:szCs w:val="24"/>
          <w:lang w:val="tr-TR"/>
        </w:rPr>
        <w:t>yenidoğan</w:t>
      </w:r>
      <w:proofErr w:type="spellEnd"/>
      <w:r w:rsidRPr="00A763C5">
        <w:rPr>
          <w:rFonts w:ascii="Times New Roman" w:hAnsi="Times New Roman"/>
          <w:spacing w:val="0"/>
          <w:position w:val="0"/>
          <w:sz w:val="24"/>
          <w:szCs w:val="24"/>
          <w:lang w:val="tr-TR"/>
        </w:rPr>
        <w:t xml:space="preserve"> sıçanlarda önemli oranda daha fazla toksik olmasının sebebi ise, muhtemelen, farelerde maddenin farklı bir metabolizmasının bulunması ve </w:t>
      </w:r>
      <w:proofErr w:type="spellStart"/>
      <w:r w:rsidRPr="00A763C5">
        <w:rPr>
          <w:rFonts w:ascii="Times New Roman" w:hAnsi="Times New Roman"/>
          <w:spacing w:val="0"/>
          <w:position w:val="0"/>
          <w:sz w:val="24"/>
          <w:szCs w:val="24"/>
          <w:lang w:val="tr-TR"/>
        </w:rPr>
        <w:t>yenidoğan</w:t>
      </w:r>
      <w:proofErr w:type="spellEnd"/>
      <w:r w:rsidRPr="00A763C5">
        <w:rPr>
          <w:rFonts w:ascii="Times New Roman" w:hAnsi="Times New Roman"/>
          <w:spacing w:val="0"/>
          <w:position w:val="0"/>
          <w:sz w:val="24"/>
          <w:szCs w:val="24"/>
          <w:lang w:val="tr-TR"/>
        </w:rPr>
        <w:t xml:space="preserve"> sıçanlarda </w:t>
      </w:r>
      <w:proofErr w:type="spellStart"/>
      <w:r w:rsidRPr="00A763C5">
        <w:rPr>
          <w:rFonts w:ascii="Times New Roman" w:hAnsi="Times New Roman"/>
          <w:spacing w:val="0"/>
          <w:position w:val="0"/>
          <w:sz w:val="24"/>
          <w:szCs w:val="24"/>
          <w:lang w:val="tr-TR"/>
        </w:rPr>
        <w:t>hepatik</w:t>
      </w:r>
      <w:proofErr w:type="spellEnd"/>
      <w:r w:rsidRPr="00A763C5">
        <w:rPr>
          <w:rFonts w:ascii="Times New Roman" w:hAnsi="Times New Roman"/>
          <w:spacing w:val="0"/>
          <w:position w:val="0"/>
          <w:sz w:val="24"/>
          <w:szCs w:val="24"/>
          <w:lang w:val="tr-TR"/>
        </w:rPr>
        <w:t xml:space="preserve"> enzim sisteminin olgunlaşmamış olmasıdır. Köpeklere ve kedilere daha yüksek dozlarda verildiğinde kusmaya sebep olmuştur; bundan dolayı, bu hayvan cinslerinde bir oral LD</w:t>
      </w:r>
      <w:r w:rsidRPr="00A763C5">
        <w:rPr>
          <w:rFonts w:ascii="Times New Roman" w:hAnsi="Times New Roman"/>
          <w:spacing w:val="0"/>
          <w:position w:val="0"/>
          <w:sz w:val="24"/>
          <w:szCs w:val="24"/>
          <w:vertAlign w:val="subscript"/>
          <w:lang w:val="tr-TR"/>
        </w:rPr>
        <w:t>50</w:t>
      </w:r>
      <w:r w:rsidRPr="00A763C5">
        <w:rPr>
          <w:rFonts w:ascii="Times New Roman" w:hAnsi="Times New Roman"/>
          <w:spacing w:val="0"/>
          <w:position w:val="0"/>
          <w:sz w:val="24"/>
          <w:szCs w:val="24"/>
          <w:lang w:val="tr-TR"/>
        </w:rPr>
        <w:t xml:space="preserve"> tespit etmek olanaksız olmuştur.</w:t>
      </w:r>
    </w:p>
    <w:p w:rsidR="003B0EE5" w:rsidRPr="00A763C5" w:rsidRDefault="003B0EE5" w:rsidP="00250803">
      <w:pPr>
        <w:spacing w:line="276" w:lineRule="auto"/>
        <w:jc w:val="both"/>
        <w:rPr>
          <w:rFonts w:ascii="Times New Roman" w:hAnsi="Times New Roman"/>
          <w:spacing w:val="0"/>
          <w:position w:val="0"/>
          <w:sz w:val="24"/>
          <w:szCs w:val="24"/>
          <w:lang w:val="tr-TR"/>
        </w:rPr>
      </w:pPr>
    </w:p>
    <w:p w:rsidR="003B0EE5" w:rsidRPr="00A763C5" w:rsidRDefault="003B0EE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Kronik Toksisite:</w:t>
      </w:r>
    </w:p>
    <w:p w:rsidR="003B0EE5" w:rsidRPr="00A763C5" w:rsidRDefault="003B0EE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Toksik dozların verilmesinden sonra, deney hayvanlarında, daha yavaş bir kilo artışı,</w:t>
      </w:r>
      <w:r w:rsidR="006D35C8"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daha sık diürez, asidüri ve dehidratasyon ve ayrıca, enfeksiyonlara duyarlılık artışı gibi etkiler </w:t>
      </w:r>
      <w:r w:rsidRPr="00A763C5">
        <w:rPr>
          <w:rFonts w:ascii="Times New Roman" w:hAnsi="Times New Roman"/>
          <w:spacing w:val="0"/>
          <w:position w:val="0"/>
          <w:sz w:val="24"/>
          <w:szCs w:val="24"/>
          <w:lang w:val="tr-TR"/>
        </w:rPr>
        <w:lastRenderedPageBreak/>
        <w:t>gözlenmiştir. Otopsi sırasında, abdominal organlarda kan akımı artışı, intestinal mukoza iritasyonu gözlemlenmiştir.</w:t>
      </w:r>
    </w:p>
    <w:p w:rsidR="006D35C8" w:rsidRPr="00A763C5" w:rsidRDefault="006D35C8" w:rsidP="00250803">
      <w:pPr>
        <w:spacing w:line="276" w:lineRule="auto"/>
        <w:jc w:val="both"/>
        <w:rPr>
          <w:rFonts w:ascii="Times New Roman" w:hAnsi="Times New Roman"/>
          <w:b/>
          <w:bCs/>
          <w:spacing w:val="0"/>
          <w:position w:val="0"/>
          <w:sz w:val="24"/>
          <w:szCs w:val="24"/>
          <w:lang w:val="tr-TR"/>
        </w:rPr>
      </w:pPr>
    </w:p>
    <w:p w:rsidR="003B0EE5" w:rsidRPr="00A763C5" w:rsidRDefault="003B0EE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Mutajenik ve Tümörojenik Potansiyeli:</w:t>
      </w:r>
    </w:p>
    <w:p w:rsidR="003B0EE5" w:rsidRPr="00A763C5" w:rsidRDefault="003B0EE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Sıçanlarda, hepatotoksik doz seviyelerinde potansiyel bir genotoksisite gözlemlenmiş ve bu bulgu, doğrudan bir DNA hasarı olarak değil, hepatotoksisite/miyelotoksisitenin</w:t>
      </w:r>
      <w:r w:rsidR="006D35C8"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dolaylı bir sonucu olarak izah edilmiştir. Dolayısıyla, bir eşik doz olduğu varsayılabilir. Diyeti 6.000 ppm</w:t>
      </w:r>
      <w:r w:rsidR="00672172"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e kadar olan erkek sıçanlarda yapılan 2 yıllık bir çalışmada</w:t>
      </w:r>
      <w:r w:rsidR="006D35C8"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karsinojenik</w:t>
      </w:r>
      <w:proofErr w:type="spellEnd"/>
      <w:r w:rsidRPr="00A763C5">
        <w:rPr>
          <w:rFonts w:ascii="Times New Roman" w:hAnsi="Times New Roman"/>
          <w:spacing w:val="0"/>
          <w:position w:val="0"/>
          <w:sz w:val="24"/>
          <w:szCs w:val="24"/>
          <w:lang w:val="tr-TR"/>
        </w:rPr>
        <w:t xml:space="preserve"> aktivitesine işaret eden herhangi bir bulgu bildirilmemiştir. Mononükleer hücre lösemisi insidansının artmasından dolayı dişi sıçanlarda bazı</w:t>
      </w:r>
      <w:r w:rsidR="006D35C8"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 xml:space="preserve">karsinojenik aktivite bulguları söz konusudur. Diyeti 6.000 ppm kadar olan farelerde yapılan 2 yıllık bir çalışmada ise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karsinojenik</w:t>
      </w:r>
      <w:proofErr w:type="spellEnd"/>
      <w:r w:rsidRPr="00A763C5">
        <w:rPr>
          <w:rFonts w:ascii="Times New Roman" w:hAnsi="Times New Roman"/>
          <w:spacing w:val="0"/>
          <w:position w:val="0"/>
          <w:sz w:val="24"/>
          <w:szCs w:val="24"/>
          <w:lang w:val="tr-TR"/>
        </w:rPr>
        <w:t xml:space="preserve"> aktivitesini gösteren</w:t>
      </w:r>
      <w:r w:rsidR="006D35C8"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herhangi bir bulgu elde edilmemiştir.</w:t>
      </w:r>
    </w:p>
    <w:p w:rsidR="003B0EE5" w:rsidRPr="00A763C5" w:rsidRDefault="003B0EE5" w:rsidP="00250803">
      <w:pPr>
        <w:spacing w:line="276" w:lineRule="auto"/>
        <w:jc w:val="both"/>
        <w:rPr>
          <w:rFonts w:ascii="Times New Roman" w:hAnsi="Times New Roman"/>
          <w:spacing w:val="0"/>
          <w:position w:val="0"/>
          <w:sz w:val="24"/>
          <w:szCs w:val="24"/>
          <w:lang w:val="tr-TR"/>
        </w:rPr>
      </w:pPr>
    </w:p>
    <w:p w:rsidR="003B0EE5" w:rsidRPr="00A763C5" w:rsidRDefault="003B0EE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bCs/>
          <w:spacing w:val="0"/>
          <w:position w:val="0"/>
          <w:sz w:val="24"/>
          <w:szCs w:val="24"/>
          <w:lang w:val="tr-TR"/>
        </w:rPr>
        <w:t>Üreme Toksisitesi:</w:t>
      </w:r>
    </w:p>
    <w:p w:rsidR="003B0EE5" w:rsidRPr="00A763C5" w:rsidRDefault="003B0EE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İnsanlarda kapsamlı kullanımdan sonra embriyotoksik veya teratojenik riskte bir artış</w:t>
      </w:r>
      <w:r w:rsidR="006D35C8"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gözlemlenmemiştir. Parasetamol hamilelik dönemlerinde de sıklıkla alınmakta olup, gerek hamileliğin seyri gerekse doğmamış çocuk üzerinde herhangi bir olumsuz etki görülmemiştir.</w:t>
      </w:r>
    </w:p>
    <w:p w:rsidR="003B0EE5" w:rsidRPr="00A763C5" w:rsidRDefault="003B0EE5"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Hayvanlarda yapılan kronik </w:t>
      </w:r>
      <w:proofErr w:type="spellStart"/>
      <w:r w:rsidRPr="00A763C5">
        <w:rPr>
          <w:rFonts w:ascii="Times New Roman" w:hAnsi="Times New Roman"/>
          <w:spacing w:val="0"/>
          <w:position w:val="0"/>
          <w:sz w:val="24"/>
          <w:szCs w:val="24"/>
          <w:lang w:val="tr-TR"/>
        </w:rPr>
        <w:t>toksisite</w:t>
      </w:r>
      <w:proofErr w:type="spellEnd"/>
      <w:r w:rsidRPr="00A763C5">
        <w:rPr>
          <w:rFonts w:ascii="Times New Roman" w:hAnsi="Times New Roman"/>
          <w:spacing w:val="0"/>
          <w:position w:val="0"/>
          <w:sz w:val="24"/>
          <w:szCs w:val="24"/>
          <w:lang w:val="tr-TR"/>
        </w:rPr>
        <w:t xml:space="preserve"> araştırmalarında </w:t>
      </w:r>
      <w:proofErr w:type="spellStart"/>
      <w:r w:rsidRPr="00A763C5">
        <w:rPr>
          <w:rFonts w:ascii="Times New Roman" w:hAnsi="Times New Roman"/>
          <w:spacing w:val="0"/>
          <w:position w:val="0"/>
          <w:sz w:val="24"/>
          <w:szCs w:val="24"/>
          <w:lang w:val="tr-TR"/>
        </w:rPr>
        <w:t>parasetamolün</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testiküler</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atrofiye</w:t>
      </w:r>
      <w:proofErr w:type="spellEnd"/>
      <w:r w:rsidR="006D35C8"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neden olduğu ve spermatogenezi inhibe ettiği bildirilmiştir.</w:t>
      </w:r>
    </w:p>
    <w:p w:rsidR="003B0EE5" w:rsidRPr="00A763C5" w:rsidRDefault="003B0EE5" w:rsidP="00250803">
      <w:pPr>
        <w:spacing w:line="276" w:lineRule="auto"/>
        <w:jc w:val="both"/>
        <w:rPr>
          <w:rFonts w:ascii="Times New Roman" w:hAnsi="Times New Roman"/>
          <w:spacing w:val="0"/>
          <w:position w:val="0"/>
          <w:sz w:val="24"/>
          <w:szCs w:val="24"/>
          <w:lang w:val="tr-TR"/>
        </w:rPr>
      </w:pPr>
    </w:p>
    <w:p w:rsidR="00DF37C3"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6</w:t>
      </w:r>
      <w:r w:rsidR="004511F6"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FARMASÖTİK ÖZELLİKLER</w:t>
      </w:r>
    </w:p>
    <w:p w:rsidR="007466F5" w:rsidRPr="00A763C5" w:rsidRDefault="007466F5"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6.1. Yardımcı maddelerin listesi</w:t>
      </w:r>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Metil </w:t>
      </w:r>
      <w:proofErr w:type="spellStart"/>
      <w:r w:rsidRPr="00A763C5">
        <w:rPr>
          <w:rFonts w:ascii="Times New Roman" w:hAnsi="Times New Roman"/>
          <w:spacing w:val="0"/>
          <w:position w:val="0"/>
          <w:sz w:val="24"/>
          <w:szCs w:val="24"/>
          <w:lang w:val="tr-TR"/>
        </w:rPr>
        <w:t>paraben</w:t>
      </w:r>
      <w:proofErr w:type="spellEnd"/>
    </w:p>
    <w:p w:rsidR="004511F6" w:rsidRPr="00A763C5" w:rsidRDefault="004511F6"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Propil</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paraben</w:t>
      </w:r>
      <w:proofErr w:type="spellEnd"/>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Sodyum </w:t>
      </w:r>
      <w:proofErr w:type="spellStart"/>
      <w:r w:rsidR="00845220" w:rsidRPr="00A763C5">
        <w:rPr>
          <w:rFonts w:ascii="Times New Roman" w:hAnsi="Times New Roman"/>
          <w:spacing w:val="0"/>
          <w:position w:val="0"/>
          <w:sz w:val="24"/>
          <w:szCs w:val="24"/>
          <w:lang w:val="tr-TR"/>
        </w:rPr>
        <w:t>sakkarin</w:t>
      </w:r>
      <w:proofErr w:type="spellEnd"/>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Sitrik asit monohidrat</w:t>
      </w:r>
    </w:p>
    <w:p w:rsidR="004511F6" w:rsidRPr="00A763C5" w:rsidRDefault="004511F6"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Propilen</w:t>
      </w:r>
      <w:proofErr w:type="spellEnd"/>
      <w:r w:rsidRPr="00A763C5">
        <w:rPr>
          <w:rFonts w:ascii="Times New Roman" w:hAnsi="Times New Roman"/>
          <w:spacing w:val="0"/>
          <w:position w:val="0"/>
          <w:sz w:val="24"/>
          <w:szCs w:val="24"/>
          <w:lang w:val="tr-TR"/>
        </w:rPr>
        <w:t xml:space="preserve"> glikol</w:t>
      </w:r>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Etil alkol</w:t>
      </w:r>
      <w:r w:rsidR="0030697A" w:rsidRPr="00A763C5">
        <w:rPr>
          <w:rFonts w:ascii="Times New Roman" w:hAnsi="Times New Roman"/>
          <w:spacing w:val="0"/>
          <w:position w:val="0"/>
          <w:sz w:val="24"/>
          <w:szCs w:val="24"/>
          <w:lang w:val="tr-TR"/>
        </w:rPr>
        <w:t xml:space="preserve"> (%96)</w:t>
      </w:r>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Gliserin</w:t>
      </w:r>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PEG 4000</w:t>
      </w:r>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Kristal şeker</w:t>
      </w:r>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F.D ve C </w:t>
      </w:r>
      <w:proofErr w:type="spellStart"/>
      <w:r w:rsidRPr="00A763C5">
        <w:rPr>
          <w:rFonts w:ascii="Times New Roman" w:hAnsi="Times New Roman"/>
          <w:spacing w:val="0"/>
          <w:position w:val="0"/>
          <w:sz w:val="24"/>
          <w:szCs w:val="24"/>
          <w:lang w:val="tr-TR"/>
        </w:rPr>
        <w:t>Red</w:t>
      </w:r>
      <w:proofErr w:type="spellEnd"/>
      <w:r w:rsidRPr="00A763C5">
        <w:rPr>
          <w:rFonts w:ascii="Times New Roman" w:hAnsi="Times New Roman"/>
          <w:spacing w:val="0"/>
          <w:position w:val="0"/>
          <w:sz w:val="24"/>
          <w:szCs w:val="24"/>
          <w:lang w:val="tr-TR"/>
        </w:rPr>
        <w:t xml:space="preserve"> No: 3</w:t>
      </w:r>
    </w:p>
    <w:p w:rsidR="004511F6" w:rsidRPr="00A763C5" w:rsidRDefault="004511F6"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Frambuaz esansı likit</w:t>
      </w:r>
    </w:p>
    <w:p w:rsidR="005518C2" w:rsidRPr="00A763C5" w:rsidRDefault="004511F6"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Distile</w:t>
      </w:r>
      <w:proofErr w:type="spellEnd"/>
      <w:r w:rsidRPr="00A763C5">
        <w:rPr>
          <w:rFonts w:ascii="Times New Roman" w:hAnsi="Times New Roman"/>
          <w:spacing w:val="0"/>
          <w:position w:val="0"/>
          <w:sz w:val="24"/>
          <w:szCs w:val="24"/>
          <w:lang w:val="tr-TR"/>
        </w:rPr>
        <w:t xml:space="preserve"> su q.s.</w:t>
      </w:r>
    </w:p>
    <w:p w:rsidR="002A0CE9" w:rsidRPr="00A763C5" w:rsidRDefault="002A0CE9" w:rsidP="00250803">
      <w:pPr>
        <w:spacing w:line="276" w:lineRule="auto"/>
        <w:jc w:val="both"/>
        <w:rPr>
          <w:rFonts w:ascii="Times New Roman" w:hAnsi="Times New Roman"/>
          <w:b/>
          <w:spacing w:val="0"/>
          <w:position w:val="0"/>
          <w:sz w:val="24"/>
          <w:szCs w:val="24"/>
          <w:lang w:val="tr-TR"/>
        </w:rPr>
      </w:pPr>
    </w:p>
    <w:p w:rsidR="00CF5952"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6.2</w:t>
      </w:r>
      <w:r w:rsidR="004511F6"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Geçimsizlikler</w:t>
      </w:r>
      <w:r w:rsidR="00CF5952" w:rsidRPr="00A763C5">
        <w:rPr>
          <w:rFonts w:ascii="Times New Roman" w:hAnsi="Times New Roman"/>
          <w:spacing w:val="0"/>
          <w:position w:val="0"/>
          <w:sz w:val="24"/>
          <w:szCs w:val="24"/>
          <w:lang w:val="tr-TR"/>
        </w:rPr>
        <w:tab/>
      </w:r>
    </w:p>
    <w:p w:rsidR="008973E5" w:rsidRPr="00A763C5" w:rsidRDefault="00B50FB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Geçerli değildir.</w:t>
      </w:r>
    </w:p>
    <w:p w:rsidR="001D0AF9" w:rsidRPr="00A763C5" w:rsidRDefault="001D0AF9" w:rsidP="00250803">
      <w:pPr>
        <w:spacing w:line="276" w:lineRule="auto"/>
        <w:jc w:val="both"/>
        <w:rPr>
          <w:rFonts w:ascii="Times New Roman" w:hAnsi="Times New Roman"/>
          <w:b/>
          <w:spacing w:val="0"/>
          <w:position w:val="0"/>
          <w:sz w:val="24"/>
          <w:szCs w:val="24"/>
          <w:lang w:val="tr-TR"/>
        </w:rPr>
      </w:pPr>
    </w:p>
    <w:p w:rsidR="00073968" w:rsidRPr="00A763C5" w:rsidRDefault="00B50FB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spacing w:val="0"/>
          <w:position w:val="0"/>
          <w:sz w:val="24"/>
          <w:szCs w:val="24"/>
          <w:lang w:val="tr-TR"/>
        </w:rPr>
        <w:t>6.3.</w:t>
      </w:r>
      <w:r w:rsidR="00073968" w:rsidRPr="00A763C5">
        <w:rPr>
          <w:rFonts w:ascii="Times New Roman" w:hAnsi="Times New Roman"/>
          <w:b/>
          <w:spacing w:val="0"/>
          <w:position w:val="0"/>
          <w:sz w:val="24"/>
          <w:szCs w:val="24"/>
          <w:lang w:val="tr-TR"/>
        </w:rPr>
        <w:t xml:space="preserve"> Raf Ömrü</w:t>
      </w:r>
    </w:p>
    <w:p w:rsidR="003A2CC1" w:rsidRPr="00A763C5" w:rsidRDefault="005D786F" w:rsidP="00250803">
      <w:pPr>
        <w:spacing w:line="276" w:lineRule="auto"/>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36</w:t>
      </w:r>
      <w:r w:rsidR="003A2CC1" w:rsidRPr="00A763C5">
        <w:rPr>
          <w:rFonts w:ascii="Times New Roman" w:hAnsi="Times New Roman"/>
          <w:spacing w:val="0"/>
          <w:position w:val="0"/>
          <w:sz w:val="24"/>
          <w:szCs w:val="24"/>
          <w:lang w:val="tr-TR"/>
        </w:rPr>
        <w:t xml:space="preserve"> Ay</w:t>
      </w:r>
    </w:p>
    <w:p w:rsidR="00956053" w:rsidRPr="00A763C5" w:rsidRDefault="00956053" w:rsidP="00250803">
      <w:pPr>
        <w:spacing w:line="276" w:lineRule="auto"/>
        <w:jc w:val="both"/>
        <w:rPr>
          <w:rFonts w:ascii="Times New Roman" w:hAnsi="Times New Roman"/>
          <w:b/>
          <w:spacing w:val="0"/>
          <w:position w:val="0"/>
          <w:sz w:val="24"/>
          <w:szCs w:val="24"/>
          <w:lang w:val="tr-TR"/>
        </w:rPr>
      </w:pPr>
    </w:p>
    <w:p w:rsidR="00956053" w:rsidRPr="00A763C5" w:rsidRDefault="00073968"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b/>
          <w:spacing w:val="0"/>
          <w:position w:val="0"/>
          <w:sz w:val="24"/>
          <w:szCs w:val="24"/>
          <w:lang w:val="tr-TR"/>
        </w:rPr>
        <w:t>6.4</w:t>
      </w:r>
      <w:r w:rsidR="00996C4B"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Özel saklama önlemleri</w:t>
      </w:r>
    </w:p>
    <w:p w:rsidR="003A2CC1" w:rsidRPr="00A763C5" w:rsidRDefault="005D786F"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25</w:t>
      </w:r>
      <w:r w:rsidR="003A2CC1" w:rsidRPr="00A763C5">
        <w:rPr>
          <w:rFonts w:ascii="Times New Roman" w:hAnsi="Times New Roman"/>
          <w:spacing w:val="0"/>
          <w:position w:val="0"/>
          <w:sz w:val="24"/>
          <w:szCs w:val="24"/>
          <w:vertAlign w:val="superscript"/>
          <w:lang w:val="tr-TR"/>
        </w:rPr>
        <w:t>o</w:t>
      </w:r>
      <w:r w:rsidR="003A2CC1" w:rsidRPr="00A763C5">
        <w:rPr>
          <w:rFonts w:ascii="Times New Roman" w:hAnsi="Times New Roman"/>
          <w:spacing w:val="0"/>
          <w:position w:val="0"/>
          <w:sz w:val="24"/>
          <w:szCs w:val="24"/>
          <w:lang w:val="tr-TR"/>
        </w:rPr>
        <w:t>C</w:t>
      </w:r>
      <w:r w:rsidR="00672172" w:rsidRPr="00A763C5">
        <w:rPr>
          <w:rFonts w:ascii="Times New Roman" w:hAnsi="Times New Roman"/>
          <w:spacing w:val="0"/>
          <w:position w:val="0"/>
          <w:sz w:val="24"/>
          <w:szCs w:val="24"/>
          <w:lang w:val="tr-TR"/>
        </w:rPr>
        <w:t>’</w:t>
      </w:r>
      <w:r w:rsidR="003A2CC1" w:rsidRPr="00A763C5">
        <w:rPr>
          <w:rFonts w:ascii="Times New Roman" w:hAnsi="Times New Roman"/>
          <w:spacing w:val="0"/>
          <w:position w:val="0"/>
          <w:sz w:val="24"/>
          <w:szCs w:val="24"/>
          <w:lang w:val="tr-TR"/>
        </w:rPr>
        <w:t xml:space="preserve">nin altındaki oda sıcaklığında, ışıktan </w:t>
      </w:r>
      <w:r w:rsidR="00672172" w:rsidRPr="00A763C5">
        <w:rPr>
          <w:rFonts w:ascii="Times New Roman" w:hAnsi="Times New Roman"/>
          <w:spacing w:val="0"/>
          <w:position w:val="0"/>
          <w:sz w:val="24"/>
          <w:szCs w:val="24"/>
          <w:lang w:val="tr-TR"/>
        </w:rPr>
        <w:t>ve nemden koruyarak saklayınız.</w:t>
      </w:r>
    </w:p>
    <w:p w:rsidR="00672172" w:rsidRPr="00A763C5" w:rsidRDefault="00672172" w:rsidP="00250803">
      <w:pPr>
        <w:spacing w:line="276" w:lineRule="auto"/>
        <w:jc w:val="both"/>
        <w:rPr>
          <w:rFonts w:ascii="Times New Roman" w:hAnsi="Times New Roman"/>
          <w:spacing w:val="0"/>
          <w:position w:val="0"/>
          <w:sz w:val="24"/>
          <w:szCs w:val="24"/>
          <w:lang w:val="tr-TR"/>
        </w:rPr>
      </w:pPr>
    </w:p>
    <w:p w:rsidR="009F2254" w:rsidRPr="00A763C5" w:rsidRDefault="00996C4B"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lastRenderedPageBreak/>
        <w:t>6.5.</w:t>
      </w:r>
      <w:r w:rsidR="00073968" w:rsidRPr="00A763C5">
        <w:rPr>
          <w:rFonts w:ascii="Times New Roman" w:hAnsi="Times New Roman"/>
          <w:b/>
          <w:spacing w:val="0"/>
          <w:position w:val="0"/>
          <w:sz w:val="24"/>
          <w:szCs w:val="24"/>
          <w:lang w:val="tr-TR"/>
        </w:rPr>
        <w:t xml:space="preserve"> Ambalajın </w:t>
      </w:r>
      <w:r w:rsidR="001E2C98" w:rsidRPr="00A763C5">
        <w:rPr>
          <w:rFonts w:ascii="Times New Roman" w:hAnsi="Times New Roman"/>
          <w:b/>
          <w:spacing w:val="0"/>
          <w:position w:val="0"/>
          <w:sz w:val="24"/>
          <w:szCs w:val="24"/>
          <w:lang w:val="tr-TR"/>
        </w:rPr>
        <w:t>niteliği</w:t>
      </w:r>
      <w:r w:rsidR="00073968" w:rsidRPr="00A763C5">
        <w:rPr>
          <w:rFonts w:ascii="Times New Roman" w:hAnsi="Times New Roman"/>
          <w:b/>
          <w:spacing w:val="0"/>
          <w:position w:val="0"/>
          <w:sz w:val="24"/>
          <w:szCs w:val="24"/>
          <w:lang w:val="tr-TR"/>
        </w:rPr>
        <w:t xml:space="preserve"> ve içeriği</w:t>
      </w:r>
    </w:p>
    <w:p w:rsidR="00DF37C3" w:rsidRPr="00A763C5" w:rsidRDefault="00DF37C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Üzerinde d amblemi bulunan, tabanı PVC kaplı, sarı renkli (</w:t>
      </w:r>
      <w:proofErr w:type="spellStart"/>
      <w:r w:rsidRPr="00A763C5">
        <w:rPr>
          <w:rFonts w:ascii="Times New Roman" w:hAnsi="Times New Roman"/>
          <w:spacing w:val="0"/>
          <w:position w:val="0"/>
          <w:sz w:val="24"/>
          <w:szCs w:val="24"/>
          <w:lang w:val="tr-TR"/>
        </w:rPr>
        <w:t>gold</w:t>
      </w:r>
      <w:proofErr w:type="spellEnd"/>
      <w:r w:rsidRPr="00A763C5">
        <w:rPr>
          <w:rFonts w:ascii="Times New Roman" w:hAnsi="Times New Roman"/>
          <w:spacing w:val="0"/>
          <w:position w:val="0"/>
          <w:sz w:val="24"/>
          <w:szCs w:val="24"/>
          <w:lang w:val="tr-TR"/>
        </w:rPr>
        <w:t xml:space="preserve">) </w:t>
      </w:r>
      <w:proofErr w:type="spellStart"/>
      <w:r w:rsidRPr="00A763C5">
        <w:rPr>
          <w:rFonts w:ascii="Times New Roman" w:hAnsi="Times New Roman"/>
          <w:spacing w:val="0"/>
          <w:position w:val="0"/>
          <w:sz w:val="24"/>
          <w:szCs w:val="24"/>
          <w:lang w:val="tr-TR"/>
        </w:rPr>
        <w:t>aluminyum</w:t>
      </w:r>
      <w:proofErr w:type="spellEnd"/>
      <w:r w:rsidRPr="00A763C5">
        <w:rPr>
          <w:rFonts w:ascii="Times New Roman" w:hAnsi="Times New Roman"/>
          <w:spacing w:val="0"/>
          <w:position w:val="0"/>
          <w:sz w:val="24"/>
          <w:szCs w:val="24"/>
          <w:lang w:val="tr-TR"/>
        </w:rPr>
        <w:t xml:space="preserve"> kapak ile kapatılmış, bal renkli cam şişe (T</w:t>
      </w:r>
      <w:r w:rsidR="00996C4B" w:rsidRPr="00A763C5">
        <w:rPr>
          <w:rFonts w:ascii="Times New Roman" w:hAnsi="Times New Roman"/>
          <w:spacing w:val="0"/>
          <w:position w:val="0"/>
          <w:sz w:val="24"/>
          <w:szCs w:val="24"/>
          <w:lang w:val="tr-TR"/>
        </w:rPr>
        <w:t>ip</w:t>
      </w:r>
      <w:r w:rsidRPr="00A763C5">
        <w:rPr>
          <w:rFonts w:ascii="Times New Roman" w:hAnsi="Times New Roman"/>
          <w:spacing w:val="0"/>
          <w:position w:val="0"/>
          <w:sz w:val="24"/>
          <w:szCs w:val="24"/>
          <w:lang w:val="tr-TR"/>
        </w:rPr>
        <w:t xml:space="preserve"> III)</w:t>
      </w:r>
    </w:p>
    <w:p w:rsidR="00956053" w:rsidRPr="00A763C5" w:rsidRDefault="00F44DF1"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spacing w:val="0"/>
          <w:position w:val="0"/>
          <w:sz w:val="24"/>
          <w:szCs w:val="24"/>
          <w:lang w:val="tr-TR"/>
        </w:rPr>
        <w:t>Her</w:t>
      </w:r>
      <w:r w:rsidR="00DF37C3" w:rsidRPr="00A763C5">
        <w:rPr>
          <w:rFonts w:ascii="Times New Roman" w:hAnsi="Times New Roman"/>
          <w:spacing w:val="0"/>
          <w:position w:val="0"/>
          <w:sz w:val="24"/>
          <w:szCs w:val="24"/>
          <w:lang w:val="tr-TR"/>
        </w:rPr>
        <w:t xml:space="preserve"> bir karton kutu 150 ml şurup içeren 1 şişe, üzeri 1.25 ml, 2.5 </w:t>
      </w:r>
      <w:proofErr w:type="spellStart"/>
      <w:r w:rsidR="00DF37C3" w:rsidRPr="00A763C5">
        <w:rPr>
          <w:rFonts w:ascii="Times New Roman" w:hAnsi="Times New Roman"/>
          <w:spacing w:val="0"/>
          <w:position w:val="0"/>
          <w:sz w:val="24"/>
          <w:szCs w:val="24"/>
          <w:lang w:val="tr-TR"/>
        </w:rPr>
        <w:t>ml</w:t>
      </w:r>
      <w:r w:rsidR="00672172" w:rsidRPr="00A763C5">
        <w:rPr>
          <w:rFonts w:ascii="Times New Roman" w:hAnsi="Times New Roman"/>
          <w:spacing w:val="0"/>
          <w:position w:val="0"/>
          <w:sz w:val="24"/>
          <w:szCs w:val="24"/>
          <w:lang w:val="tr-TR"/>
        </w:rPr>
        <w:t>’</w:t>
      </w:r>
      <w:r w:rsidR="00DF37C3" w:rsidRPr="00A763C5">
        <w:rPr>
          <w:rFonts w:ascii="Times New Roman" w:hAnsi="Times New Roman"/>
          <w:spacing w:val="0"/>
          <w:position w:val="0"/>
          <w:sz w:val="24"/>
          <w:szCs w:val="24"/>
          <w:lang w:val="tr-TR"/>
        </w:rPr>
        <w:t>ye</w:t>
      </w:r>
      <w:proofErr w:type="spellEnd"/>
      <w:r w:rsidR="00DF37C3" w:rsidRPr="00A763C5">
        <w:rPr>
          <w:rFonts w:ascii="Times New Roman" w:hAnsi="Times New Roman"/>
          <w:spacing w:val="0"/>
          <w:position w:val="0"/>
          <w:sz w:val="24"/>
          <w:szCs w:val="24"/>
          <w:lang w:val="tr-TR"/>
        </w:rPr>
        <w:t xml:space="preserve"> işaretli 5 </w:t>
      </w:r>
      <w:proofErr w:type="spellStart"/>
      <w:r w:rsidR="00DF37C3" w:rsidRPr="00A763C5">
        <w:rPr>
          <w:rFonts w:ascii="Times New Roman" w:hAnsi="Times New Roman"/>
          <w:spacing w:val="0"/>
          <w:position w:val="0"/>
          <w:sz w:val="24"/>
          <w:szCs w:val="24"/>
          <w:lang w:val="tr-TR"/>
        </w:rPr>
        <w:t>ml</w:t>
      </w:r>
      <w:r w:rsidR="00672172" w:rsidRPr="00A763C5">
        <w:rPr>
          <w:rFonts w:ascii="Times New Roman" w:hAnsi="Times New Roman"/>
          <w:spacing w:val="0"/>
          <w:position w:val="0"/>
          <w:sz w:val="24"/>
          <w:szCs w:val="24"/>
          <w:lang w:val="tr-TR"/>
        </w:rPr>
        <w:t>’</w:t>
      </w:r>
      <w:r w:rsidR="00DF37C3" w:rsidRPr="00A763C5">
        <w:rPr>
          <w:rFonts w:ascii="Times New Roman" w:hAnsi="Times New Roman"/>
          <w:spacing w:val="0"/>
          <w:position w:val="0"/>
          <w:sz w:val="24"/>
          <w:szCs w:val="24"/>
          <w:lang w:val="tr-TR"/>
        </w:rPr>
        <w:t>lik</w:t>
      </w:r>
      <w:proofErr w:type="spellEnd"/>
      <w:r w:rsidR="00DF37C3" w:rsidRPr="00A763C5">
        <w:rPr>
          <w:rFonts w:ascii="Times New Roman" w:hAnsi="Times New Roman"/>
          <w:spacing w:val="0"/>
          <w:position w:val="0"/>
          <w:sz w:val="24"/>
          <w:szCs w:val="24"/>
          <w:lang w:val="tr-TR"/>
        </w:rPr>
        <w:t xml:space="preserve"> 1 polietilen kaşık içermektedir.</w:t>
      </w:r>
    </w:p>
    <w:p w:rsidR="00672172" w:rsidRPr="00A763C5" w:rsidRDefault="00672172" w:rsidP="00250803">
      <w:pPr>
        <w:spacing w:line="276" w:lineRule="auto"/>
        <w:jc w:val="both"/>
        <w:rPr>
          <w:rFonts w:ascii="Times New Roman" w:hAnsi="Times New Roman"/>
          <w:b/>
          <w:spacing w:val="0"/>
          <w:position w:val="0"/>
          <w:sz w:val="24"/>
          <w:szCs w:val="24"/>
          <w:lang w:val="tr-TR"/>
        </w:rPr>
      </w:pPr>
    </w:p>
    <w:p w:rsidR="00BC1C03" w:rsidRPr="00A763C5" w:rsidRDefault="00BC1C03"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6.6</w:t>
      </w:r>
      <w:r w:rsidR="00996C4B" w:rsidRPr="00A763C5">
        <w:rPr>
          <w:rFonts w:ascii="Times New Roman" w:hAnsi="Times New Roman"/>
          <w:b/>
          <w:spacing w:val="0"/>
          <w:position w:val="0"/>
          <w:sz w:val="24"/>
          <w:szCs w:val="24"/>
          <w:lang w:val="tr-TR"/>
        </w:rPr>
        <w:t>.</w:t>
      </w:r>
      <w:r w:rsidRPr="00A763C5">
        <w:rPr>
          <w:rFonts w:ascii="Times New Roman" w:hAnsi="Times New Roman"/>
          <w:b/>
          <w:spacing w:val="0"/>
          <w:position w:val="0"/>
          <w:sz w:val="24"/>
          <w:szCs w:val="24"/>
          <w:lang w:val="tr-TR"/>
        </w:rPr>
        <w:t xml:space="preserve"> Beşeri tıbbi üründen arta kalan maddelerin imhası ve diğer özel önlemler</w:t>
      </w:r>
    </w:p>
    <w:p w:rsidR="002F1127" w:rsidRPr="00A763C5" w:rsidRDefault="002F1127"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Kullanılmamış olan ürünler ya da atık materyaller “Tıbbi Atıkların Kontrolü Yönetmeliği” ve </w:t>
      </w:r>
      <w:r w:rsidR="0062666B"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Ambalaj ve Ambalaj Atıklarının Kontrolü Yönetmeli</w:t>
      </w:r>
      <w:r w:rsidR="0062666B" w:rsidRPr="00A763C5">
        <w:rPr>
          <w:rFonts w:ascii="Times New Roman" w:hAnsi="Times New Roman"/>
          <w:spacing w:val="0"/>
          <w:position w:val="0"/>
          <w:sz w:val="24"/>
          <w:szCs w:val="24"/>
          <w:lang w:val="tr-TR"/>
        </w:rPr>
        <w:t>ği</w:t>
      </w:r>
      <w:r w:rsidRPr="00A763C5">
        <w:rPr>
          <w:rFonts w:ascii="Times New Roman" w:hAnsi="Times New Roman"/>
          <w:spacing w:val="0"/>
          <w:position w:val="0"/>
          <w:sz w:val="24"/>
          <w:szCs w:val="24"/>
          <w:lang w:val="tr-TR"/>
        </w:rPr>
        <w:t xml:space="preserve">”ne uygun olarak imha edilmelidir. </w:t>
      </w:r>
    </w:p>
    <w:p w:rsidR="004C0FB3" w:rsidRPr="00A763C5" w:rsidRDefault="004C0FB3" w:rsidP="00250803">
      <w:pPr>
        <w:spacing w:line="276" w:lineRule="auto"/>
        <w:jc w:val="both"/>
        <w:rPr>
          <w:rFonts w:ascii="Times New Roman" w:hAnsi="Times New Roman"/>
          <w:b/>
          <w:spacing w:val="0"/>
          <w:position w:val="0"/>
          <w:sz w:val="24"/>
          <w:szCs w:val="24"/>
          <w:lang w:val="tr-TR"/>
        </w:rPr>
      </w:pPr>
    </w:p>
    <w:p w:rsidR="00066C94"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7. RUHSAT SAHİBİ</w:t>
      </w:r>
    </w:p>
    <w:p w:rsidR="00534E90" w:rsidRPr="00A763C5" w:rsidRDefault="00AC689D"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DEVA HOLDİNG </w:t>
      </w:r>
      <w:r w:rsidR="00534E90" w:rsidRPr="00A763C5">
        <w:rPr>
          <w:rFonts w:ascii="Times New Roman" w:hAnsi="Times New Roman"/>
          <w:spacing w:val="0"/>
          <w:position w:val="0"/>
          <w:sz w:val="24"/>
          <w:szCs w:val="24"/>
          <w:lang w:val="tr-TR"/>
        </w:rPr>
        <w:t>A.Ş.</w:t>
      </w:r>
    </w:p>
    <w:p w:rsidR="00390400" w:rsidRPr="00A763C5" w:rsidRDefault="0039040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Halkalı Merkez Mah.</w:t>
      </w:r>
      <w:r w:rsidR="007B4756"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Basın Ekspres Cad.</w:t>
      </w:r>
    </w:p>
    <w:p w:rsidR="00390400" w:rsidRPr="00A763C5" w:rsidRDefault="0039040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No: 1</w:t>
      </w:r>
      <w:r w:rsidR="00BD517E" w:rsidRPr="00A763C5">
        <w:rPr>
          <w:rFonts w:ascii="Times New Roman" w:hAnsi="Times New Roman"/>
          <w:spacing w:val="0"/>
          <w:position w:val="0"/>
          <w:sz w:val="24"/>
          <w:szCs w:val="24"/>
          <w:lang w:val="tr-TR"/>
        </w:rPr>
        <w:t xml:space="preserve"> </w:t>
      </w:r>
      <w:r w:rsidRPr="00A763C5">
        <w:rPr>
          <w:rFonts w:ascii="Times New Roman" w:hAnsi="Times New Roman"/>
          <w:spacing w:val="0"/>
          <w:position w:val="0"/>
          <w:sz w:val="24"/>
          <w:szCs w:val="24"/>
          <w:lang w:val="tr-TR"/>
        </w:rPr>
        <w:t>34303</w:t>
      </w:r>
    </w:p>
    <w:p w:rsidR="00390400" w:rsidRPr="00A763C5" w:rsidRDefault="0039040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Küçükçekmece</w:t>
      </w:r>
      <w:r w:rsidR="007B4756" w:rsidRPr="00A763C5">
        <w:rPr>
          <w:rFonts w:ascii="Times New Roman" w:hAnsi="Times New Roman"/>
          <w:spacing w:val="0"/>
          <w:position w:val="0"/>
          <w:sz w:val="24"/>
          <w:szCs w:val="24"/>
          <w:lang w:val="tr-TR"/>
        </w:rPr>
        <w:t>/İSTANBUL</w:t>
      </w:r>
    </w:p>
    <w:p w:rsidR="00390400" w:rsidRPr="00A763C5" w:rsidRDefault="00390400"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 xml:space="preserve">Tel: 0 212 692 92 </w:t>
      </w:r>
      <w:proofErr w:type="spellStart"/>
      <w:r w:rsidRPr="00A763C5">
        <w:rPr>
          <w:rFonts w:ascii="Times New Roman" w:hAnsi="Times New Roman"/>
          <w:spacing w:val="0"/>
          <w:position w:val="0"/>
          <w:sz w:val="24"/>
          <w:szCs w:val="24"/>
          <w:lang w:val="tr-TR"/>
        </w:rPr>
        <w:t>92</w:t>
      </w:r>
      <w:proofErr w:type="spellEnd"/>
    </w:p>
    <w:p w:rsidR="00390400" w:rsidRPr="00A763C5" w:rsidRDefault="00390400" w:rsidP="00250803">
      <w:pPr>
        <w:spacing w:line="276" w:lineRule="auto"/>
        <w:jc w:val="both"/>
        <w:rPr>
          <w:rFonts w:ascii="Times New Roman" w:hAnsi="Times New Roman"/>
          <w:spacing w:val="0"/>
          <w:position w:val="0"/>
          <w:sz w:val="24"/>
          <w:szCs w:val="24"/>
          <w:lang w:val="tr-TR"/>
        </w:rPr>
      </w:pPr>
      <w:proofErr w:type="spellStart"/>
      <w:r w:rsidRPr="00A763C5">
        <w:rPr>
          <w:rFonts w:ascii="Times New Roman" w:hAnsi="Times New Roman"/>
          <w:spacing w:val="0"/>
          <w:position w:val="0"/>
          <w:sz w:val="24"/>
          <w:szCs w:val="24"/>
          <w:lang w:val="tr-TR"/>
        </w:rPr>
        <w:t>Fax</w:t>
      </w:r>
      <w:proofErr w:type="spellEnd"/>
      <w:r w:rsidRPr="00A763C5">
        <w:rPr>
          <w:rFonts w:ascii="Times New Roman" w:hAnsi="Times New Roman"/>
          <w:spacing w:val="0"/>
          <w:position w:val="0"/>
          <w:sz w:val="24"/>
          <w:szCs w:val="24"/>
          <w:lang w:val="tr-TR"/>
        </w:rPr>
        <w:t>: 0 212 697 00 24</w:t>
      </w:r>
    </w:p>
    <w:p w:rsidR="001834A5" w:rsidRPr="00A763C5" w:rsidRDefault="001834A5" w:rsidP="00250803">
      <w:pPr>
        <w:spacing w:line="276" w:lineRule="auto"/>
        <w:jc w:val="both"/>
        <w:rPr>
          <w:rFonts w:ascii="Times New Roman" w:hAnsi="Times New Roman"/>
          <w:spacing w:val="0"/>
          <w:position w:val="0"/>
          <w:sz w:val="24"/>
          <w:szCs w:val="24"/>
          <w:lang w:val="tr-TR"/>
        </w:rPr>
      </w:pPr>
    </w:p>
    <w:p w:rsidR="00CE6A82"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8. RUHSAT NUMARASI</w:t>
      </w:r>
    </w:p>
    <w:p w:rsidR="001D0AF9" w:rsidRPr="00A763C5" w:rsidRDefault="00DF37C3" w:rsidP="00250803">
      <w:pPr>
        <w:spacing w:line="276" w:lineRule="auto"/>
        <w:jc w:val="both"/>
        <w:rPr>
          <w:rFonts w:ascii="Times New Roman" w:hAnsi="Times New Roman"/>
          <w:spacing w:val="0"/>
          <w:position w:val="0"/>
          <w:sz w:val="24"/>
          <w:szCs w:val="24"/>
          <w:lang w:val="tr-TR"/>
        </w:rPr>
      </w:pPr>
      <w:r w:rsidRPr="00A763C5">
        <w:rPr>
          <w:rFonts w:ascii="Times New Roman" w:hAnsi="Times New Roman"/>
          <w:spacing w:val="0"/>
          <w:position w:val="0"/>
          <w:sz w:val="24"/>
          <w:szCs w:val="24"/>
          <w:lang w:val="tr-TR"/>
        </w:rPr>
        <w:t>152</w:t>
      </w:r>
      <w:r w:rsidR="002C1F03" w:rsidRPr="00A763C5">
        <w:rPr>
          <w:rFonts w:ascii="Times New Roman" w:hAnsi="Times New Roman"/>
          <w:spacing w:val="0"/>
          <w:position w:val="0"/>
          <w:sz w:val="24"/>
          <w:szCs w:val="24"/>
          <w:lang w:val="tr-TR"/>
        </w:rPr>
        <w:t>/</w:t>
      </w:r>
      <w:r w:rsidRPr="00A763C5">
        <w:rPr>
          <w:rFonts w:ascii="Times New Roman" w:hAnsi="Times New Roman"/>
          <w:spacing w:val="0"/>
          <w:position w:val="0"/>
          <w:sz w:val="24"/>
          <w:szCs w:val="24"/>
          <w:lang w:val="tr-TR"/>
        </w:rPr>
        <w:t>44</w:t>
      </w:r>
    </w:p>
    <w:p w:rsidR="00CB680C" w:rsidRPr="00A763C5" w:rsidRDefault="00CB680C" w:rsidP="00250803">
      <w:pPr>
        <w:spacing w:line="276" w:lineRule="auto"/>
        <w:jc w:val="both"/>
        <w:rPr>
          <w:rFonts w:ascii="Times New Roman" w:hAnsi="Times New Roman"/>
          <w:spacing w:val="0"/>
          <w:position w:val="0"/>
          <w:sz w:val="24"/>
          <w:szCs w:val="24"/>
          <w:lang w:val="tr-TR"/>
        </w:rPr>
      </w:pPr>
    </w:p>
    <w:p w:rsidR="00073968" w:rsidRPr="00A763C5" w:rsidRDefault="00073968" w:rsidP="00250803">
      <w:pPr>
        <w:spacing w:line="276" w:lineRule="auto"/>
        <w:jc w:val="both"/>
        <w:rPr>
          <w:rFonts w:ascii="Times New Roman" w:hAnsi="Times New Roman"/>
          <w:b/>
          <w:spacing w:val="0"/>
          <w:position w:val="0"/>
          <w:sz w:val="24"/>
          <w:szCs w:val="24"/>
          <w:lang w:val="tr-TR"/>
        </w:rPr>
      </w:pPr>
      <w:r w:rsidRPr="00A763C5">
        <w:rPr>
          <w:rFonts w:ascii="Times New Roman" w:hAnsi="Times New Roman"/>
          <w:b/>
          <w:spacing w:val="0"/>
          <w:position w:val="0"/>
          <w:sz w:val="24"/>
          <w:szCs w:val="24"/>
          <w:lang w:val="tr-TR"/>
        </w:rPr>
        <w:t>9. İLK RUHSAT TARİHİ</w:t>
      </w:r>
      <w:r w:rsidR="00FF5152" w:rsidRPr="00A763C5">
        <w:rPr>
          <w:rFonts w:ascii="Times New Roman" w:hAnsi="Times New Roman"/>
          <w:b/>
          <w:spacing w:val="0"/>
          <w:position w:val="0"/>
          <w:sz w:val="24"/>
          <w:szCs w:val="24"/>
          <w:lang w:val="tr-TR"/>
        </w:rPr>
        <w:t xml:space="preserve"> </w:t>
      </w:r>
      <w:r w:rsidRPr="00A763C5">
        <w:rPr>
          <w:rFonts w:ascii="Times New Roman" w:hAnsi="Times New Roman"/>
          <w:b/>
          <w:spacing w:val="0"/>
          <w:position w:val="0"/>
          <w:sz w:val="24"/>
          <w:szCs w:val="24"/>
          <w:lang w:val="tr-TR"/>
        </w:rPr>
        <w:t>/</w:t>
      </w:r>
      <w:r w:rsidR="00FF5152" w:rsidRPr="00A763C5">
        <w:rPr>
          <w:rFonts w:ascii="Times New Roman" w:hAnsi="Times New Roman"/>
          <w:b/>
          <w:spacing w:val="0"/>
          <w:position w:val="0"/>
          <w:sz w:val="24"/>
          <w:szCs w:val="24"/>
          <w:lang w:val="tr-TR"/>
        </w:rPr>
        <w:t xml:space="preserve"> </w:t>
      </w:r>
      <w:r w:rsidRPr="00A763C5">
        <w:rPr>
          <w:rFonts w:ascii="Times New Roman" w:hAnsi="Times New Roman"/>
          <w:b/>
          <w:spacing w:val="0"/>
          <w:position w:val="0"/>
          <w:sz w:val="24"/>
          <w:szCs w:val="24"/>
          <w:lang w:val="tr-TR"/>
        </w:rPr>
        <w:t>RUHSAT YENİLEME TARİHİ</w:t>
      </w:r>
    </w:p>
    <w:p w:rsidR="001D0AF9" w:rsidRPr="00A763C5" w:rsidRDefault="00CB680C" w:rsidP="00250803">
      <w:pPr>
        <w:spacing w:line="276" w:lineRule="auto"/>
        <w:jc w:val="both"/>
        <w:rPr>
          <w:rFonts w:ascii="Times New Roman" w:hAnsi="Times New Roman"/>
          <w:bCs/>
          <w:spacing w:val="0"/>
          <w:position w:val="0"/>
          <w:sz w:val="24"/>
          <w:szCs w:val="24"/>
          <w:lang w:val="tr-TR"/>
        </w:rPr>
      </w:pPr>
      <w:r w:rsidRPr="00A763C5">
        <w:rPr>
          <w:rFonts w:ascii="Times New Roman" w:hAnsi="Times New Roman"/>
          <w:bCs/>
          <w:spacing w:val="0"/>
          <w:position w:val="0"/>
          <w:sz w:val="24"/>
          <w:szCs w:val="24"/>
          <w:lang w:val="tr-TR"/>
        </w:rPr>
        <w:t xml:space="preserve">İlk </w:t>
      </w:r>
      <w:r w:rsidR="00DC2988" w:rsidRPr="00A763C5">
        <w:rPr>
          <w:rFonts w:ascii="Times New Roman" w:hAnsi="Times New Roman"/>
          <w:bCs/>
          <w:spacing w:val="0"/>
          <w:position w:val="0"/>
          <w:sz w:val="24"/>
          <w:szCs w:val="24"/>
          <w:lang w:val="tr-TR"/>
        </w:rPr>
        <w:t>R</w:t>
      </w:r>
      <w:r w:rsidRPr="00A763C5">
        <w:rPr>
          <w:rFonts w:ascii="Times New Roman" w:hAnsi="Times New Roman"/>
          <w:bCs/>
          <w:spacing w:val="0"/>
          <w:position w:val="0"/>
          <w:sz w:val="24"/>
          <w:szCs w:val="24"/>
          <w:lang w:val="tr-TR"/>
        </w:rPr>
        <w:t xml:space="preserve">uhsatlandırma Tarihi: </w:t>
      </w:r>
      <w:r w:rsidR="00446A41" w:rsidRPr="00A763C5">
        <w:rPr>
          <w:rFonts w:ascii="Times New Roman" w:hAnsi="Times New Roman"/>
          <w:bCs/>
          <w:spacing w:val="0"/>
          <w:position w:val="0"/>
          <w:sz w:val="24"/>
          <w:szCs w:val="24"/>
          <w:lang w:val="tr-TR"/>
        </w:rPr>
        <w:t>28</w:t>
      </w:r>
      <w:r w:rsidR="002C1F03" w:rsidRPr="00A763C5">
        <w:rPr>
          <w:rFonts w:ascii="Times New Roman" w:hAnsi="Times New Roman"/>
          <w:bCs/>
          <w:spacing w:val="0"/>
          <w:position w:val="0"/>
          <w:sz w:val="24"/>
          <w:szCs w:val="24"/>
          <w:lang w:val="tr-TR"/>
        </w:rPr>
        <w:t>.</w:t>
      </w:r>
      <w:r w:rsidR="00DF37C3" w:rsidRPr="00A763C5">
        <w:rPr>
          <w:rFonts w:ascii="Times New Roman" w:hAnsi="Times New Roman"/>
          <w:bCs/>
          <w:spacing w:val="0"/>
          <w:position w:val="0"/>
          <w:sz w:val="24"/>
          <w:szCs w:val="24"/>
          <w:lang w:val="tr-TR"/>
        </w:rPr>
        <w:t>03.1990</w:t>
      </w:r>
    </w:p>
    <w:p w:rsidR="0065485B" w:rsidRPr="00A763C5" w:rsidRDefault="00DC2988" w:rsidP="00250803">
      <w:pPr>
        <w:spacing w:line="276" w:lineRule="auto"/>
        <w:jc w:val="both"/>
        <w:rPr>
          <w:rFonts w:ascii="Times New Roman" w:hAnsi="Times New Roman"/>
          <w:bCs/>
          <w:spacing w:val="0"/>
          <w:position w:val="0"/>
          <w:sz w:val="24"/>
          <w:szCs w:val="24"/>
          <w:lang w:val="tr-TR"/>
        </w:rPr>
      </w:pPr>
      <w:r w:rsidRPr="00A763C5">
        <w:rPr>
          <w:rFonts w:ascii="Times New Roman" w:hAnsi="Times New Roman"/>
          <w:bCs/>
          <w:spacing w:val="0"/>
          <w:position w:val="0"/>
          <w:sz w:val="24"/>
          <w:szCs w:val="24"/>
          <w:lang w:val="tr-TR"/>
        </w:rPr>
        <w:t>Ruhsat</w:t>
      </w:r>
      <w:r w:rsidR="00446A41" w:rsidRPr="00A763C5">
        <w:rPr>
          <w:rFonts w:ascii="Times New Roman" w:hAnsi="Times New Roman"/>
          <w:bCs/>
          <w:spacing w:val="0"/>
          <w:position w:val="0"/>
          <w:sz w:val="24"/>
          <w:szCs w:val="24"/>
          <w:lang w:val="tr-TR"/>
        </w:rPr>
        <w:t xml:space="preserve"> </w:t>
      </w:r>
      <w:r w:rsidRPr="00A763C5">
        <w:rPr>
          <w:rFonts w:ascii="Times New Roman" w:hAnsi="Times New Roman"/>
          <w:bCs/>
          <w:spacing w:val="0"/>
          <w:position w:val="0"/>
          <w:sz w:val="24"/>
          <w:szCs w:val="24"/>
          <w:lang w:val="tr-TR"/>
        </w:rPr>
        <w:t>Y</w:t>
      </w:r>
      <w:r w:rsidR="00446A41" w:rsidRPr="00A763C5">
        <w:rPr>
          <w:rFonts w:ascii="Times New Roman" w:hAnsi="Times New Roman"/>
          <w:bCs/>
          <w:spacing w:val="0"/>
          <w:position w:val="0"/>
          <w:sz w:val="24"/>
          <w:szCs w:val="24"/>
          <w:lang w:val="tr-TR"/>
        </w:rPr>
        <w:t xml:space="preserve">enileme </w:t>
      </w:r>
      <w:r w:rsidRPr="00A763C5">
        <w:rPr>
          <w:rFonts w:ascii="Times New Roman" w:hAnsi="Times New Roman"/>
          <w:bCs/>
          <w:spacing w:val="0"/>
          <w:position w:val="0"/>
          <w:sz w:val="24"/>
          <w:szCs w:val="24"/>
          <w:lang w:val="tr-TR"/>
        </w:rPr>
        <w:t xml:space="preserve">Tarihi: </w:t>
      </w:r>
      <w:r w:rsidR="00300BA3" w:rsidRPr="00A763C5">
        <w:rPr>
          <w:rFonts w:ascii="Times New Roman" w:hAnsi="Times New Roman"/>
          <w:bCs/>
          <w:spacing w:val="0"/>
          <w:position w:val="0"/>
          <w:sz w:val="24"/>
          <w:szCs w:val="24"/>
          <w:lang w:val="tr-TR"/>
        </w:rPr>
        <w:t>15.07.2011</w:t>
      </w:r>
    </w:p>
    <w:p w:rsidR="00CB680C" w:rsidRPr="00A763C5" w:rsidRDefault="00CB680C" w:rsidP="00250803">
      <w:pPr>
        <w:spacing w:line="276" w:lineRule="auto"/>
        <w:jc w:val="both"/>
        <w:rPr>
          <w:rFonts w:ascii="Times New Roman" w:hAnsi="Times New Roman"/>
          <w:bCs/>
          <w:spacing w:val="0"/>
          <w:position w:val="0"/>
          <w:sz w:val="24"/>
          <w:szCs w:val="24"/>
          <w:lang w:val="tr-TR"/>
        </w:rPr>
      </w:pPr>
    </w:p>
    <w:p w:rsidR="00073968" w:rsidRPr="00A763C5" w:rsidRDefault="00073968" w:rsidP="00250803">
      <w:pPr>
        <w:spacing w:line="276" w:lineRule="auto"/>
        <w:jc w:val="both"/>
        <w:rPr>
          <w:rFonts w:ascii="Times New Roman" w:hAnsi="Times New Roman"/>
          <w:b/>
          <w:bCs/>
          <w:spacing w:val="0"/>
          <w:position w:val="0"/>
          <w:sz w:val="24"/>
          <w:szCs w:val="24"/>
          <w:lang w:val="tr-TR"/>
        </w:rPr>
      </w:pPr>
      <w:r w:rsidRPr="00A763C5">
        <w:rPr>
          <w:rFonts w:ascii="Times New Roman" w:hAnsi="Times New Roman"/>
          <w:b/>
          <w:bCs/>
          <w:spacing w:val="0"/>
          <w:position w:val="0"/>
          <w:sz w:val="24"/>
          <w:szCs w:val="24"/>
          <w:lang w:val="tr-TR"/>
        </w:rPr>
        <w:t>10. KÜB</w:t>
      </w:r>
      <w:r w:rsidR="00672172" w:rsidRPr="00A763C5">
        <w:rPr>
          <w:rFonts w:ascii="Times New Roman" w:hAnsi="Times New Roman"/>
          <w:b/>
          <w:bCs/>
          <w:spacing w:val="0"/>
          <w:position w:val="0"/>
          <w:sz w:val="24"/>
          <w:szCs w:val="24"/>
          <w:lang w:val="tr-TR"/>
        </w:rPr>
        <w:t>’</w:t>
      </w:r>
      <w:r w:rsidRPr="00A763C5">
        <w:rPr>
          <w:rFonts w:ascii="Times New Roman" w:hAnsi="Times New Roman"/>
          <w:b/>
          <w:bCs/>
          <w:spacing w:val="0"/>
          <w:position w:val="0"/>
          <w:sz w:val="24"/>
          <w:szCs w:val="24"/>
          <w:lang w:val="tr-TR"/>
        </w:rPr>
        <w:t xml:space="preserve">ÜN </w:t>
      </w:r>
      <w:r w:rsidR="00FF5152" w:rsidRPr="00A763C5">
        <w:rPr>
          <w:rFonts w:ascii="Times New Roman" w:hAnsi="Times New Roman"/>
          <w:b/>
          <w:bCs/>
          <w:spacing w:val="0"/>
          <w:position w:val="0"/>
          <w:sz w:val="24"/>
          <w:szCs w:val="24"/>
          <w:lang w:val="tr-TR"/>
        </w:rPr>
        <w:t>YENİLENME</w:t>
      </w:r>
      <w:r w:rsidRPr="00A763C5">
        <w:rPr>
          <w:rFonts w:ascii="Times New Roman" w:hAnsi="Times New Roman"/>
          <w:b/>
          <w:bCs/>
          <w:spacing w:val="0"/>
          <w:position w:val="0"/>
          <w:sz w:val="24"/>
          <w:szCs w:val="24"/>
          <w:lang w:val="tr-TR"/>
        </w:rPr>
        <w:t xml:space="preserve"> TARİHİ</w:t>
      </w:r>
    </w:p>
    <w:p w:rsidR="00CF5952" w:rsidRPr="00A763C5" w:rsidRDefault="00CF5952" w:rsidP="00250803">
      <w:pPr>
        <w:spacing w:line="276" w:lineRule="auto"/>
        <w:jc w:val="both"/>
        <w:rPr>
          <w:rFonts w:ascii="Times New Roman" w:hAnsi="Times New Roman"/>
          <w:spacing w:val="0"/>
          <w:position w:val="0"/>
          <w:sz w:val="24"/>
          <w:szCs w:val="24"/>
          <w:lang w:val="tr-TR"/>
        </w:rPr>
      </w:pPr>
    </w:p>
    <w:sectPr w:rsidR="00CF5952" w:rsidRPr="00A763C5" w:rsidSect="00672172">
      <w:headerReference w:type="default" r:id="rId8"/>
      <w:footerReference w:type="even" r:id="rId9"/>
      <w:footerReference w:type="default" r:id="rId10"/>
      <w:pgSz w:w="11907" w:h="16840" w:code="9"/>
      <w:pgMar w:top="1417" w:right="1417" w:bottom="1417" w:left="1417"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C02" w:rsidRDefault="00BB7C02">
      <w:r>
        <w:separator/>
      </w:r>
    </w:p>
  </w:endnote>
  <w:endnote w:type="continuationSeparator" w:id="0">
    <w:p w:rsidR="00BB7C02" w:rsidRDefault="00BB7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02" w:rsidRDefault="003824A2" w:rsidP="00A26714">
    <w:pPr>
      <w:pStyle w:val="Altbilgi"/>
      <w:framePr w:wrap="around" w:vAnchor="text" w:hAnchor="margin" w:xAlign="right" w:y="1"/>
      <w:rPr>
        <w:rStyle w:val="SayfaNumaras"/>
      </w:rPr>
    </w:pPr>
    <w:r>
      <w:rPr>
        <w:rStyle w:val="SayfaNumaras"/>
      </w:rPr>
      <w:fldChar w:fldCharType="begin"/>
    </w:r>
    <w:r w:rsidR="00BB7C02">
      <w:rPr>
        <w:rStyle w:val="SayfaNumaras"/>
      </w:rPr>
      <w:instrText xml:space="preserve">PAGE  </w:instrText>
    </w:r>
    <w:r>
      <w:rPr>
        <w:rStyle w:val="SayfaNumaras"/>
      </w:rPr>
      <w:fldChar w:fldCharType="end"/>
    </w:r>
  </w:p>
  <w:p w:rsidR="00BB7C02" w:rsidRDefault="00BB7C02" w:rsidP="00566D9A">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766"/>
      <w:docPartObj>
        <w:docPartGallery w:val="Page Numbers (Bottom of Page)"/>
        <w:docPartUnique/>
      </w:docPartObj>
    </w:sdtPr>
    <w:sdtEndPr>
      <w:rPr>
        <w:rFonts w:ascii="Times New Roman" w:hAnsi="Times New Roman"/>
        <w:sz w:val="24"/>
        <w:szCs w:val="24"/>
      </w:rPr>
    </w:sdtEndPr>
    <w:sdtContent>
      <w:sdt>
        <w:sdtPr>
          <w:id w:val="861459903"/>
          <w:docPartObj>
            <w:docPartGallery w:val="Page Numbers (Top of Page)"/>
            <w:docPartUnique/>
          </w:docPartObj>
        </w:sdtPr>
        <w:sdtEndPr>
          <w:rPr>
            <w:rFonts w:ascii="Times New Roman" w:hAnsi="Times New Roman"/>
            <w:sz w:val="24"/>
            <w:szCs w:val="24"/>
          </w:rPr>
        </w:sdtEndPr>
        <w:sdtContent>
          <w:p w:rsidR="00BB7C02" w:rsidRPr="006E28A0" w:rsidRDefault="003824A2" w:rsidP="006E28A0">
            <w:pPr>
              <w:pStyle w:val="Altbilgi"/>
              <w:jc w:val="right"/>
              <w:rPr>
                <w:rFonts w:ascii="Times New Roman" w:hAnsi="Times New Roman"/>
                <w:sz w:val="24"/>
                <w:szCs w:val="24"/>
              </w:rPr>
            </w:pPr>
            <w:r w:rsidRPr="006E28A0">
              <w:rPr>
                <w:rFonts w:ascii="Times New Roman" w:hAnsi="Times New Roman"/>
                <w:sz w:val="24"/>
                <w:szCs w:val="24"/>
              </w:rPr>
              <w:fldChar w:fldCharType="begin"/>
            </w:r>
            <w:r w:rsidR="00BB7C02" w:rsidRPr="006E28A0">
              <w:rPr>
                <w:rFonts w:ascii="Times New Roman" w:hAnsi="Times New Roman"/>
                <w:sz w:val="24"/>
                <w:szCs w:val="24"/>
              </w:rPr>
              <w:instrText>PAGE</w:instrText>
            </w:r>
            <w:r w:rsidRPr="006E28A0">
              <w:rPr>
                <w:rFonts w:ascii="Times New Roman" w:hAnsi="Times New Roman"/>
                <w:sz w:val="24"/>
                <w:szCs w:val="24"/>
              </w:rPr>
              <w:fldChar w:fldCharType="separate"/>
            </w:r>
            <w:r w:rsidR="00A763C5">
              <w:rPr>
                <w:rFonts w:ascii="Times New Roman" w:hAnsi="Times New Roman"/>
                <w:noProof/>
                <w:sz w:val="24"/>
                <w:szCs w:val="24"/>
              </w:rPr>
              <w:t>6</w:t>
            </w:r>
            <w:r w:rsidRPr="006E28A0">
              <w:rPr>
                <w:rFonts w:ascii="Times New Roman" w:hAnsi="Times New Roman"/>
                <w:sz w:val="24"/>
                <w:szCs w:val="24"/>
              </w:rPr>
              <w:fldChar w:fldCharType="end"/>
            </w:r>
            <w:r w:rsidR="00BB7C02" w:rsidRPr="006E28A0">
              <w:rPr>
                <w:rFonts w:ascii="Times New Roman" w:hAnsi="Times New Roman"/>
                <w:sz w:val="24"/>
                <w:szCs w:val="24"/>
              </w:rPr>
              <w:t xml:space="preserve"> / </w:t>
            </w:r>
            <w:r w:rsidRPr="006E28A0">
              <w:rPr>
                <w:rFonts w:ascii="Times New Roman" w:hAnsi="Times New Roman"/>
                <w:sz w:val="24"/>
                <w:szCs w:val="24"/>
              </w:rPr>
              <w:fldChar w:fldCharType="begin"/>
            </w:r>
            <w:r w:rsidR="00BB7C02" w:rsidRPr="006E28A0">
              <w:rPr>
                <w:rFonts w:ascii="Times New Roman" w:hAnsi="Times New Roman"/>
                <w:sz w:val="24"/>
                <w:szCs w:val="24"/>
              </w:rPr>
              <w:instrText>NUMPAGES</w:instrText>
            </w:r>
            <w:r w:rsidRPr="006E28A0">
              <w:rPr>
                <w:rFonts w:ascii="Times New Roman" w:hAnsi="Times New Roman"/>
                <w:sz w:val="24"/>
                <w:szCs w:val="24"/>
              </w:rPr>
              <w:fldChar w:fldCharType="separate"/>
            </w:r>
            <w:r w:rsidR="00A763C5">
              <w:rPr>
                <w:rFonts w:ascii="Times New Roman" w:hAnsi="Times New Roman"/>
                <w:noProof/>
                <w:sz w:val="24"/>
                <w:szCs w:val="24"/>
              </w:rPr>
              <w:t>10</w:t>
            </w:r>
            <w:r w:rsidRPr="006E28A0">
              <w:rPr>
                <w:rFonts w:ascii="Times New Roman" w:hAnsi="Times New Roma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C02" w:rsidRDefault="00BB7C02">
      <w:r>
        <w:separator/>
      </w:r>
    </w:p>
  </w:footnote>
  <w:footnote w:type="continuationSeparator" w:id="0">
    <w:p w:rsidR="00BB7C02" w:rsidRDefault="00BB7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02" w:rsidRPr="008973E5" w:rsidRDefault="00BB7C02" w:rsidP="009F2254">
    <w:pPr>
      <w:pStyle w:val="stbilgi"/>
      <w:spacing w:line="360" w:lineRule="auto"/>
      <w:rPr>
        <w:rFonts w:ascii="Times New Roman" w:hAnsi="Times New Roman"/>
        <w:u w:val="single"/>
        <w:lang w:val="tr-T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3EA1DFB"/>
    <w:multiLevelType w:val="multilevel"/>
    <w:tmpl w:val="4C46A472"/>
    <w:lvl w:ilvl="0">
      <w:start w:val="6"/>
      <w:numFmt w:val="decimal"/>
      <w:lvlText w:val="%1."/>
      <w:lvlJc w:val="left"/>
      <w:pPr>
        <w:tabs>
          <w:tab w:val="num" w:pos="375"/>
        </w:tabs>
        <w:ind w:left="375" w:hanging="37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6C4EC5"/>
    <w:multiLevelType w:val="multilevel"/>
    <w:tmpl w:val="58AC57F4"/>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29CB0385"/>
    <w:multiLevelType w:val="hybridMultilevel"/>
    <w:tmpl w:val="49E8C742"/>
    <w:lvl w:ilvl="0" w:tplc="AA6A192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DD428C"/>
    <w:multiLevelType w:val="hybridMultilevel"/>
    <w:tmpl w:val="383808E2"/>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useFELayout/>
  </w:compat>
  <w:rsids>
    <w:rsidRoot w:val="00600D14"/>
    <w:rsid w:val="00013B59"/>
    <w:rsid w:val="00024EC6"/>
    <w:rsid w:val="000252A0"/>
    <w:rsid w:val="00027F25"/>
    <w:rsid w:val="00030304"/>
    <w:rsid w:val="000357F8"/>
    <w:rsid w:val="000370B9"/>
    <w:rsid w:val="00043E3F"/>
    <w:rsid w:val="0005636E"/>
    <w:rsid w:val="000622A6"/>
    <w:rsid w:val="00063ACE"/>
    <w:rsid w:val="0006522E"/>
    <w:rsid w:val="00066C94"/>
    <w:rsid w:val="00066EB8"/>
    <w:rsid w:val="00073968"/>
    <w:rsid w:val="0008352F"/>
    <w:rsid w:val="00095556"/>
    <w:rsid w:val="000A3A7F"/>
    <w:rsid w:val="000B6163"/>
    <w:rsid w:val="000C328E"/>
    <w:rsid w:val="000C366A"/>
    <w:rsid w:val="000C4469"/>
    <w:rsid w:val="000C4895"/>
    <w:rsid w:val="000D2C9A"/>
    <w:rsid w:val="000D6EE4"/>
    <w:rsid w:val="00106A27"/>
    <w:rsid w:val="00122D48"/>
    <w:rsid w:val="001367A0"/>
    <w:rsid w:val="00145B64"/>
    <w:rsid w:val="00151AE8"/>
    <w:rsid w:val="00156029"/>
    <w:rsid w:val="0016553C"/>
    <w:rsid w:val="001834A5"/>
    <w:rsid w:val="001C3E39"/>
    <w:rsid w:val="001C60F5"/>
    <w:rsid w:val="001C6AD2"/>
    <w:rsid w:val="001C6DDE"/>
    <w:rsid w:val="001C7A7D"/>
    <w:rsid w:val="001D0AF9"/>
    <w:rsid w:val="001D0E38"/>
    <w:rsid w:val="001D2CCF"/>
    <w:rsid w:val="001D6D40"/>
    <w:rsid w:val="001E2C98"/>
    <w:rsid w:val="001F497E"/>
    <w:rsid w:val="00204984"/>
    <w:rsid w:val="00205C3A"/>
    <w:rsid w:val="00240EAB"/>
    <w:rsid w:val="00247069"/>
    <w:rsid w:val="00250803"/>
    <w:rsid w:val="00257F70"/>
    <w:rsid w:val="002612A2"/>
    <w:rsid w:val="002616D4"/>
    <w:rsid w:val="0026659F"/>
    <w:rsid w:val="00266954"/>
    <w:rsid w:val="00272E04"/>
    <w:rsid w:val="00290009"/>
    <w:rsid w:val="00293A8F"/>
    <w:rsid w:val="002A0CE9"/>
    <w:rsid w:val="002A15CE"/>
    <w:rsid w:val="002B0540"/>
    <w:rsid w:val="002B2A0D"/>
    <w:rsid w:val="002C1F03"/>
    <w:rsid w:val="002D1171"/>
    <w:rsid w:val="002D2C62"/>
    <w:rsid w:val="002E7C03"/>
    <w:rsid w:val="002F1127"/>
    <w:rsid w:val="00300BA3"/>
    <w:rsid w:val="00300E05"/>
    <w:rsid w:val="0030501D"/>
    <w:rsid w:val="00306872"/>
    <w:rsid w:val="0030697A"/>
    <w:rsid w:val="00310FC4"/>
    <w:rsid w:val="00313806"/>
    <w:rsid w:val="00330D01"/>
    <w:rsid w:val="00335EE0"/>
    <w:rsid w:val="003470D3"/>
    <w:rsid w:val="00355E19"/>
    <w:rsid w:val="00361B5C"/>
    <w:rsid w:val="00361DFC"/>
    <w:rsid w:val="00367469"/>
    <w:rsid w:val="003727C4"/>
    <w:rsid w:val="003824A2"/>
    <w:rsid w:val="00390400"/>
    <w:rsid w:val="003A2CC1"/>
    <w:rsid w:val="003B0EE5"/>
    <w:rsid w:val="003D4AD0"/>
    <w:rsid w:val="003E4CFF"/>
    <w:rsid w:val="003F0880"/>
    <w:rsid w:val="003F2697"/>
    <w:rsid w:val="003F68B8"/>
    <w:rsid w:val="00402F86"/>
    <w:rsid w:val="004044E6"/>
    <w:rsid w:val="00406329"/>
    <w:rsid w:val="00414D72"/>
    <w:rsid w:val="00415D48"/>
    <w:rsid w:val="00426EFD"/>
    <w:rsid w:val="00433D56"/>
    <w:rsid w:val="00434532"/>
    <w:rsid w:val="00435FDF"/>
    <w:rsid w:val="0044256C"/>
    <w:rsid w:val="00443565"/>
    <w:rsid w:val="00444738"/>
    <w:rsid w:val="00444EAF"/>
    <w:rsid w:val="00446A41"/>
    <w:rsid w:val="004511F6"/>
    <w:rsid w:val="00463413"/>
    <w:rsid w:val="004761FF"/>
    <w:rsid w:val="00481F5F"/>
    <w:rsid w:val="00483974"/>
    <w:rsid w:val="004926D3"/>
    <w:rsid w:val="00496345"/>
    <w:rsid w:val="004A3F66"/>
    <w:rsid w:val="004A46CD"/>
    <w:rsid w:val="004B25E5"/>
    <w:rsid w:val="004B3F2C"/>
    <w:rsid w:val="004C0FB3"/>
    <w:rsid w:val="004C2860"/>
    <w:rsid w:val="004D0706"/>
    <w:rsid w:val="004E4201"/>
    <w:rsid w:val="0050696C"/>
    <w:rsid w:val="00515E27"/>
    <w:rsid w:val="00521AED"/>
    <w:rsid w:val="00534E90"/>
    <w:rsid w:val="005518C2"/>
    <w:rsid w:val="00553087"/>
    <w:rsid w:val="00566D9A"/>
    <w:rsid w:val="0057164B"/>
    <w:rsid w:val="0057455B"/>
    <w:rsid w:val="005776F4"/>
    <w:rsid w:val="00584FC0"/>
    <w:rsid w:val="00594B65"/>
    <w:rsid w:val="005A2C49"/>
    <w:rsid w:val="005B588C"/>
    <w:rsid w:val="005D091A"/>
    <w:rsid w:val="005D786F"/>
    <w:rsid w:val="005F551A"/>
    <w:rsid w:val="00600D14"/>
    <w:rsid w:val="00606EC5"/>
    <w:rsid w:val="00610B47"/>
    <w:rsid w:val="0062666B"/>
    <w:rsid w:val="00633DD6"/>
    <w:rsid w:val="0064437D"/>
    <w:rsid w:val="0064542D"/>
    <w:rsid w:val="00650260"/>
    <w:rsid w:val="00651A21"/>
    <w:rsid w:val="00653BAC"/>
    <w:rsid w:val="0065485B"/>
    <w:rsid w:val="00661B3A"/>
    <w:rsid w:val="006645FA"/>
    <w:rsid w:val="00672172"/>
    <w:rsid w:val="00673F10"/>
    <w:rsid w:val="00691E9A"/>
    <w:rsid w:val="00696DEF"/>
    <w:rsid w:val="006A55B2"/>
    <w:rsid w:val="006A7E31"/>
    <w:rsid w:val="006B6C9E"/>
    <w:rsid w:val="006C31F3"/>
    <w:rsid w:val="006C4015"/>
    <w:rsid w:val="006C42EC"/>
    <w:rsid w:val="006C6456"/>
    <w:rsid w:val="006D35C8"/>
    <w:rsid w:val="006E28A0"/>
    <w:rsid w:val="006E57FD"/>
    <w:rsid w:val="006E5FA6"/>
    <w:rsid w:val="006F5DBC"/>
    <w:rsid w:val="007051A2"/>
    <w:rsid w:val="007260F7"/>
    <w:rsid w:val="0072688A"/>
    <w:rsid w:val="00726B8E"/>
    <w:rsid w:val="00731F76"/>
    <w:rsid w:val="00737FAD"/>
    <w:rsid w:val="00743741"/>
    <w:rsid w:val="007466F5"/>
    <w:rsid w:val="00746BC9"/>
    <w:rsid w:val="00757753"/>
    <w:rsid w:val="00761C59"/>
    <w:rsid w:val="00774592"/>
    <w:rsid w:val="00797261"/>
    <w:rsid w:val="007B4756"/>
    <w:rsid w:val="007B578B"/>
    <w:rsid w:val="007C0EBC"/>
    <w:rsid w:val="007E0C1A"/>
    <w:rsid w:val="007E3391"/>
    <w:rsid w:val="007F10B5"/>
    <w:rsid w:val="007F2AB9"/>
    <w:rsid w:val="007F6BD3"/>
    <w:rsid w:val="008014DE"/>
    <w:rsid w:val="008125C2"/>
    <w:rsid w:val="0082750B"/>
    <w:rsid w:val="00837BBB"/>
    <w:rsid w:val="00841FAC"/>
    <w:rsid w:val="00843204"/>
    <w:rsid w:val="00845220"/>
    <w:rsid w:val="00847146"/>
    <w:rsid w:val="00854C65"/>
    <w:rsid w:val="0086321A"/>
    <w:rsid w:val="008639BC"/>
    <w:rsid w:val="00863FD5"/>
    <w:rsid w:val="0087489B"/>
    <w:rsid w:val="008973E5"/>
    <w:rsid w:val="008A2141"/>
    <w:rsid w:val="008A5054"/>
    <w:rsid w:val="008E3575"/>
    <w:rsid w:val="008E680A"/>
    <w:rsid w:val="009038FE"/>
    <w:rsid w:val="00906103"/>
    <w:rsid w:val="00913837"/>
    <w:rsid w:val="00930CC4"/>
    <w:rsid w:val="00933E65"/>
    <w:rsid w:val="009530D2"/>
    <w:rsid w:val="00956053"/>
    <w:rsid w:val="0096609D"/>
    <w:rsid w:val="00977334"/>
    <w:rsid w:val="00987F11"/>
    <w:rsid w:val="00996C4B"/>
    <w:rsid w:val="009A7033"/>
    <w:rsid w:val="009B01FB"/>
    <w:rsid w:val="009B03FF"/>
    <w:rsid w:val="009B0DC1"/>
    <w:rsid w:val="009B15EE"/>
    <w:rsid w:val="009B4688"/>
    <w:rsid w:val="009B684F"/>
    <w:rsid w:val="009C35BA"/>
    <w:rsid w:val="009D19A3"/>
    <w:rsid w:val="009D31EB"/>
    <w:rsid w:val="009E65F1"/>
    <w:rsid w:val="009E6F58"/>
    <w:rsid w:val="009F2254"/>
    <w:rsid w:val="009F47BA"/>
    <w:rsid w:val="009F4B3C"/>
    <w:rsid w:val="009F64AF"/>
    <w:rsid w:val="00A00081"/>
    <w:rsid w:val="00A016A1"/>
    <w:rsid w:val="00A043B4"/>
    <w:rsid w:val="00A046FB"/>
    <w:rsid w:val="00A04B1B"/>
    <w:rsid w:val="00A241AB"/>
    <w:rsid w:val="00A25AC8"/>
    <w:rsid w:val="00A26714"/>
    <w:rsid w:val="00A34FCB"/>
    <w:rsid w:val="00A43437"/>
    <w:rsid w:val="00A628F7"/>
    <w:rsid w:val="00A62F83"/>
    <w:rsid w:val="00A65565"/>
    <w:rsid w:val="00A738E5"/>
    <w:rsid w:val="00A763C5"/>
    <w:rsid w:val="00A97346"/>
    <w:rsid w:val="00AC689D"/>
    <w:rsid w:val="00AD341E"/>
    <w:rsid w:val="00AD7064"/>
    <w:rsid w:val="00AE2E25"/>
    <w:rsid w:val="00AE5ADB"/>
    <w:rsid w:val="00AE5B94"/>
    <w:rsid w:val="00AF12E0"/>
    <w:rsid w:val="00B00154"/>
    <w:rsid w:val="00B00F40"/>
    <w:rsid w:val="00B130EC"/>
    <w:rsid w:val="00B365B0"/>
    <w:rsid w:val="00B43FF8"/>
    <w:rsid w:val="00B50FB3"/>
    <w:rsid w:val="00B53AC5"/>
    <w:rsid w:val="00B61438"/>
    <w:rsid w:val="00B67350"/>
    <w:rsid w:val="00B77B00"/>
    <w:rsid w:val="00B94EAF"/>
    <w:rsid w:val="00BA3D37"/>
    <w:rsid w:val="00BB495E"/>
    <w:rsid w:val="00BB7C02"/>
    <w:rsid w:val="00BC1307"/>
    <w:rsid w:val="00BC1BE3"/>
    <w:rsid w:val="00BC1C03"/>
    <w:rsid w:val="00BC57B6"/>
    <w:rsid w:val="00BD2FF7"/>
    <w:rsid w:val="00BD450E"/>
    <w:rsid w:val="00BD517E"/>
    <w:rsid w:val="00BE38E1"/>
    <w:rsid w:val="00C12563"/>
    <w:rsid w:val="00C16736"/>
    <w:rsid w:val="00C362ED"/>
    <w:rsid w:val="00C36B62"/>
    <w:rsid w:val="00C60D97"/>
    <w:rsid w:val="00C61FB6"/>
    <w:rsid w:val="00C62646"/>
    <w:rsid w:val="00C62723"/>
    <w:rsid w:val="00C65A4C"/>
    <w:rsid w:val="00C70829"/>
    <w:rsid w:val="00C7482D"/>
    <w:rsid w:val="00CB0F12"/>
    <w:rsid w:val="00CB61BE"/>
    <w:rsid w:val="00CB680C"/>
    <w:rsid w:val="00CE56DF"/>
    <w:rsid w:val="00CE6A82"/>
    <w:rsid w:val="00CF1A23"/>
    <w:rsid w:val="00CF5952"/>
    <w:rsid w:val="00CF6CE1"/>
    <w:rsid w:val="00D12406"/>
    <w:rsid w:val="00D23FDD"/>
    <w:rsid w:val="00D334CD"/>
    <w:rsid w:val="00D46480"/>
    <w:rsid w:val="00D46956"/>
    <w:rsid w:val="00D612AE"/>
    <w:rsid w:val="00D81616"/>
    <w:rsid w:val="00DB0B02"/>
    <w:rsid w:val="00DB3AA5"/>
    <w:rsid w:val="00DB59B4"/>
    <w:rsid w:val="00DC2988"/>
    <w:rsid w:val="00DD4CC7"/>
    <w:rsid w:val="00DD4DB6"/>
    <w:rsid w:val="00DD515E"/>
    <w:rsid w:val="00DE182A"/>
    <w:rsid w:val="00DE3C20"/>
    <w:rsid w:val="00DE4900"/>
    <w:rsid w:val="00DF37C3"/>
    <w:rsid w:val="00DF5079"/>
    <w:rsid w:val="00E01D63"/>
    <w:rsid w:val="00E16224"/>
    <w:rsid w:val="00E17AE1"/>
    <w:rsid w:val="00E217F9"/>
    <w:rsid w:val="00E22A17"/>
    <w:rsid w:val="00E37B9E"/>
    <w:rsid w:val="00E41D74"/>
    <w:rsid w:val="00E456AE"/>
    <w:rsid w:val="00E511AE"/>
    <w:rsid w:val="00E57785"/>
    <w:rsid w:val="00E62D76"/>
    <w:rsid w:val="00E73E89"/>
    <w:rsid w:val="00E7537C"/>
    <w:rsid w:val="00E94A7B"/>
    <w:rsid w:val="00E959F0"/>
    <w:rsid w:val="00E97C5C"/>
    <w:rsid w:val="00EB0A0C"/>
    <w:rsid w:val="00EB0F90"/>
    <w:rsid w:val="00EB2359"/>
    <w:rsid w:val="00ED07F9"/>
    <w:rsid w:val="00ED5812"/>
    <w:rsid w:val="00EE24DA"/>
    <w:rsid w:val="00EE55F3"/>
    <w:rsid w:val="00EF357C"/>
    <w:rsid w:val="00EF5F28"/>
    <w:rsid w:val="00F01EF5"/>
    <w:rsid w:val="00F204D0"/>
    <w:rsid w:val="00F43082"/>
    <w:rsid w:val="00F44A66"/>
    <w:rsid w:val="00F44DF1"/>
    <w:rsid w:val="00F45247"/>
    <w:rsid w:val="00F454E4"/>
    <w:rsid w:val="00F50C4A"/>
    <w:rsid w:val="00F5229A"/>
    <w:rsid w:val="00F5320B"/>
    <w:rsid w:val="00F57BF0"/>
    <w:rsid w:val="00F6614A"/>
    <w:rsid w:val="00F66C1D"/>
    <w:rsid w:val="00F73C33"/>
    <w:rsid w:val="00F74BC9"/>
    <w:rsid w:val="00F76784"/>
    <w:rsid w:val="00F851BF"/>
    <w:rsid w:val="00F85E50"/>
    <w:rsid w:val="00FB0010"/>
    <w:rsid w:val="00FB18C3"/>
    <w:rsid w:val="00FB7A8C"/>
    <w:rsid w:val="00FC2885"/>
    <w:rsid w:val="00FC60A2"/>
    <w:rsid w:val="00FE1076"/>
    <w:rsid w:val="00FE17C2"/>
    <w:rsid w:val="00FF51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2"/>
    <w:pPr>
      <w:overflowPunct w:val="0"/>
      <w:autoSpaceDE w:val="0"/>
      <w:autoSpaceDN w:val="0"/>
      <w:adjustRightInd w:val="0"/>
      <w:textAlignment w:val="baseline"/>
    </w:pPr>
    <w:rPr>
      <w:rFonts w:ascii="Arial" w:eastAsia="Times New Roman" w:hAnsi="Arial"/>
      <w:spacing w:val="20"/>
      <w:kern w:val="32"/>
      <w:position w:val="2"/>
      <w:sz w:val="22"/>
      <w:lang w:val="en-GB"/>
    </w:rPr>
  </w:style>
  <w:style w:type="paragraph" w:styleId="Balk2">
    <w:name w:val="heading 2"/>
    <w:basedOn w:val="Normal"/>
    <w:next w:val="Normal"/>
    <w:qFormat/>
    <w:rsid w:val="009B03FF"/>
    <w:pPr>
      <w:keepNext/>
      <w:overflowPunct/>
      <w:autoSpaceDE/>
      <w:autoSpaceDN/>
      <w:adjustRightInd/>
      <w:textAlignment w:val="auto"/>
      <w:outlineLvl w:val="1"/>
    </w:pPr>
    <w:rPr>
      <w:spacing w:val="0"/>
      <w:kern w:val="0"/>
      <w:position w:val="0"/>
      <w:sz w:val="24"/>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F5952"/>
    <w:pPr>
      <w:tabs>
        <w:tab w:val="center" w:pos="4536"/>
        <w:tab w:val="right" w:pos="9072"/>
      </w:tabs>
    </w:pPr>
  </w:style>
  <w:style w:type="paragraph" w:styleId="Altbilgi">
    <w:name w:val="footer"/>
    <w:basedOn w:val="Normal"/>
    <w:link w:val="AltbilgiChar"/>
    <w:uiPriority w:val="99"/>
    <w:rsid w:val="00CF5952"/>
    <w:pPr>
      <w:tabs>
        <w:tab w:val="center" w:pos="4536"/>
        <w:tab w:val="right" w:pos="9072"/>
      </w:tabs>
    </w:pPr>
  </w:style>
  <w:style w:type="character" w:styleId="SayfaNumaras">
    <w:name w:val="page number"/>
    <w:basedOn w:val="VarsaylanParagrafYazTipi"/>
    <w:rsid w:val="00CF5952"/>
  </w:style>
  <w:style w:type="table" w:styleId="TabloKlavuzu">
    <w:name w:val="Table Grid"/>
    <w:basedOn w:val="NormalTablo"/>
    <w:rsid w:val="00CF595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rsid w:val="00CE6A82"/>
    <w:pPr>
      <w:overflowPunct/>
      <w:autoSpaceDE/>
      <w:autoSpaceDN/>
      <w:adjustRightInd/>
      <w:jc w:val="both"/>
      <w:textAlignment w:val="auto"/>
    </w:pPr>
    <w:rPr>
      <w:rFonts w:cs="Arial"/>
      <w:spacing w:val="0"/>
      <w:kern w:val="0"/>
      <w:position w:val="0"/>
      <w:lang w:val="tr-TR"/>
    </w:rPr>
  </w:style>
  <w:style w:type="paragraph" w:styleId="GvdeMetni2">
    <w:name w:val="Body Text 2"/>
    <w:basedOn w:val="Normal"/>
    <w:rsid w:val="00CE6A82"/>
    <w:pPr>
      <w:spacing w:after="120" w:line="480" w:lineRule="auto"/>
    </w:pPr>
  </w:style>
  <w:style w:type="paragraph" w:styleId="GvdeMetni">
    <w:name w:val="Body Text"/>
    <w:basedOn w:val="Normal"/>
    <w:rsid w:val="00CE6A82"/>
    <w:pPr>
      <w:spacing w:after="120"/>
    </w:pPr>
  </w:style>
  <w:style w:type="paragraph" w:styleId="GvdeMetniGirintisi3">
    <w:name w:val="Body Text Indent 3"/>
    <w:basedOn w:val="Normal"/>
    <w:rsid w:val="00F73C33"/>
    <w:pPr>
      <w:spacing w:after="120"/>
      <w:ind w:left="283"/>
    </w:pPr>
    <w:rPr>
      <w:sz w:val="16"/>
      <w:szCs w:val="16"/>
    </w:rPr>
  </w:style>
  <w:style w:type="paragraph" w:styleId="GvdeMetniGirintisi">
    <w:name w:val="Body Text Indent"/>
    <w:basedOn w:val="Normal"/>
    <w:rsid w:val="004C0FB3"/>
    <w:pPr>
      <w:spacing w:after="120"/>
      <w:ind w:left="283"/>
    </w:pPr>
  </w:style>
  <w:style w:type="character" w:customStyle="1" w:styleId="AltbilgiChar">
    <w:name w:val="Altbilgi Char"/>
    <w:basedOn w:val="VarsaylanParagrafYazTipi"/>
    <w:link w:val="Altbilgi"/>
    <w:uiPriority w:val="99"/>
    <w:rsid w:val="006E28A0"/>
    <w:rPr>
      <w:rFonts w:ascii="Arial" w:eastAsia="Times New Roman" w:hAnsi="Arial"/>
      <w:spacing w:val="20"/>
      <w:kern w:val="32"/>
      <w:position w:val="2"/>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E5E87E-85BF-4D63-AB02-A5E19DB8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2658</Words>
  <Characters>19067</Characters>
  <Application>Microsoft Office Word</Application>
  <DocSecurity>0</DocSecurity>
  <Lines>158</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 TIBBİ ÜRÜNÜN ADI</vt:lpstr>
      <vt:lpstr>1- TIBBİ ÜRÜNÜN ADI</vt:lpstr>
    </vt:vector>
  </TitlesOfParts>
  <Company>Deva Holding</Company>
  <LinksUpToDate>false</LinksUpToDate>
  <CharactersWithSpaces>21682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TIBBİ ÜRÜNÜN ADI</dc:title>
  <dc:subject/>
  <dc:creator>yecoskun</dc:creator>
  <cp:keywords/>
  <dc:description/>
  <cp:lastModifiedBy>lyallak</cp:lastModifiedBy>
  <cp:revision>44</cp:revision>
  <cp:lastPrinted>2013-12-09T08:10:00Z</cp:lastPrinted>
  <dcterms:created xsi:type="dcterms:W3CDTF">2011-01-31T12:15:00Z</dcterms:created>
  <dcterms:modified xsi:type="dcterms:W3CDTF">2014-09-25T13:40:00Z</dcterms:modified>
</cp:coreProperties>
</file>