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40" w:rsidRPr="00F14C5D" w:rsidRDefault="00844540" w:rsidP="003241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KISA </w:t>
      </w:r>
      <w:r w:rsidR="00F7786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ÜRÜN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LG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</w:p>
    <w:p w:rsidR="0032410E" w:rsidRPr="00F14C5D" w:rsidRDefault="0032410E" w:rsidP="003241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BEŞERİ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TIBB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 ÜRÜNÜ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 ADI</w:t>
      </w:r>
    </w:p>
    <w:p w:rsidR="00844540" w:rsidRPr="00F14C5D" w:rsidRDefault="000E444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D96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2D1F8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 </w:t>
      </w:r>
      <w:r w:rsidR="0098263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Film 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ablet</w:t>
      </w:r>
    </w:p>
    <w:p w:rsidR="0032410E" w:rsidRPr="00F14C5D" w:rsidRDefault="0032410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KAL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 VE KANT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 B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</w:t>
      </w:r>
      <w:r w:rsidR="000E4446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Etkin madde: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Her bir film tablette:</w:t>
      </w: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D96" w:rsidRPr="00060D9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060D96" w:rsidRPr="00060D9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060D96" w:rsidRPr="00060D9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060D96" w:rsidRPr="00060D9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060D96" w:rsidRPr="00060D9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060D96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2D1F8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</w:t>
      </w: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Yardımcı maddeler:</w:t>
      </w:r>
    </w:p>
    <w:p w:rsidR="00060D96" w:rsidRPr="00060D96" w:rsidRDefault="00060D96" w:rsidP="00F52DB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0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FD&amp;C </w:t>
      </w:r>
      <w:proofErr w:type="spellStart"/>
      <w:r w:rsidRPr="00060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Yellow</w:t>
      </w:r>
      <w:proofErr w:type="spellEnd"/>
      <w:r w:rsidRPr="00060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#6/</w:t>
      </w:r>
      <w:proofErr w:type="spellStart"/>
      <w:r w:rsidRPr="00060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Sunset</w:t>
      </w:r>
      <w:proofErr w:type="spellEnd"/>
      <w:r w:rsidRPr="00060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60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Yellow</w:t>
      </w:r>
      <w:proofErr w:type="spellEnd"/>
      <w:r w:rsidRPr="00060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FCF AL </w:t>
      </w:r>
      <w:proofErr w:type="gramStart"/>
      <w:r w:rsidRPr="00060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Lak </w:t>
      </w:r>
      <w:r w:rsidRPr="00060D96">
        <w:rPr>
          <w:rFonts w:ascii="Times New Roman" w:hAnsi="Times New Roman" w:cs="Times New Roman"/>
          <w:bCs/>
          <w:color w:val="000000" w:themeColor="text1"/>
          <w:sz w:val="24"/>
          <w:szCs w:val="24"/>
          <w:u w:val="dotted"/>
        </w:rPr>
        <w:t xml:space="preserve">         </w:t>
      </w:r>
      <w:r w:rsidRPr="00060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0</w:t>
      </w:r>
      <w:proofErr w:type="gramEnd"/>
      <w:r w:rsidRPr="00060D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,24 mg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Yardımcı maddeler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6.1'e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bakınız.</w:t>
      </w:r>
    </w:p>
    <w:p w:rsidR="0032410E" w:rsidRPr="00F14C5D" w:rsidRDefault="0032410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32410E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FARMASÖ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 FORM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Film-kaplı tablet.</w:t>
      </w:r>
      <w:proofErr w:type="gramEnd"/>
    </w:p>
    <w:p w:rsidR="00060D96" w:rsidRPr="00F806F6" w:rsidRDefault="00060D96" w:rsidP="00060D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Turuncumsu pembe renkli, </w:t>
      </w:r>
      <w:proofErr w:type="spellStart"/>
      <w:r w:rsidRPr="00F806F6">
        <w:rPr>
          <w:rFonts w:ascii="Times New Roman" w:hAnsi="Times New Roman" w:cs="Times New Roman"/>
          <w:color w:val="000000" w:themeColor="text1"/>
          <w:sz w:val="24"/>
          <w:szCs w:val="24"/>
        </w:rPr>
        <w:t>bikonveks</w:t>
      </w:r>
      <w:proofErr w:type="spellEnd"/>
      <w:r w:rsidRPr="00F80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806F6">
        <w:rPr>
          <w:rFonts w:ascii="Times New Roman" w:hAnsi="Times New Roman" w:cs="Times New Roman"/>
          <w:color w:val="000000" w:themeColor="text1"/>
          <w:sz w:val="24"/>
          <w:szCs w:val="24"/>
        </w:rPr>
        <w:t>oblong</w:t>
      </w:r>
      <w:proofErr w:type="spellEnd"/>
      <w:r w:rsidRPr="00F806F6">
        <w:rPr>
          <w:rFonts w:ascii="Times New Roman" w:hAnsi="Times New Roman" w:cs="Times New Roman"/>
          <w:color w:val="000000" w:themeColor="text1"/>
          <w:sz w:val="24"/>
          <w:szCs w:val="24"/>
        </w:rPr>
        <w:t>, tek tarafı çentikli film kaplı tablet</w:t>
      </w:r>
    </w:p>
    <w:p w:rsidR="00271B7B" w:rsidRPr="00F14C5D" w:rsidRDefault="00271B7B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KL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KLER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4.1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Terapö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tik</w:t>
      </w:r>
      <w:proofErr w:type="spellEnd"/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endikasyonlar</w:t>
      </w:r>
      <w:proofErr w:type="spellEnd"/>
    </w:p>
    <w:p w:rsidR="0051032A" w:rsidRPr="00F14C5D" w:rsidRDefault="003A35B0" w:rsidP="00DA01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yaş ve üzerindeki çocuklarda ve erişkinlerde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sekonder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ya da olmayan</w:t>
      </w:r>
      <w:r w:rsidR="00DA015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parsiyel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başlangıçlı nöbetlerde ilave tedavi olarak,</w:t>
      </w:r>
    </w:p>
    <w:p w:rsidR="001C6D85" w:rsidRDefault="0051032A" w:rsidP="00651E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yaş üzerindeki </w:t>
      </w:r>
      <w:proofErr w:type="spellStart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juvenil</w:t>
      </w:r>
      <w:proofErr w:type="spellEnd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epilepsili </w:t>
      </w:r>
      <w:proofErr w:type="spellStart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</w:t>
      </w:r>
      <w:proofErr w:type="spellEnd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erişkinlerde </w:t>
      </w:r>
      <w:proofErr w:type="spellStart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nöbetlerde ilave tedavi olarak,</w:t>
      </w:r>
    </w:p>
    <w:p w:rsidR="0051032A" w:rsidRPr="00F14C5D" w:rsidRDefault="001C6D85" w:rsidP="00651E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İdiyopatik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epilepsili </w:t>
      </w:r>
      <w:r w:rsidR="003A35B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yaş ve üzerindeki çocuklarda ve erişkinlerde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="00DA015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tonik-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klonik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nöbetlerde ilave tedavi olarak,</w:t>
      </w:r>
    </w:p>
    <w:p w:rsidR="0051032A" w:rsidRPr="00F14C5D" w:rsidRDefault="0051032A" w:rsidP="00DA01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- 16 yaş ve üzeri hastalarda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sekonder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ya da olmayan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başlangıçlı</w:t>
      </w:r>
      <w:r w:rsidR="00DA015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nöbetlerin tedavisinde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monoterapi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kullanılır.</w:t>
      </w:r>
    </w:p>
    <w:p w:rsidR="0051032A" w:rsidRPr="00F14C5D" w:rsidRDefault="0051032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4.2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Pozoloji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uygulama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şekli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Pozoloji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/Uygulama sıklığı ve </w:t>
      </w:r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süre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si:</w:t>
      </w:r>
    </w:p>
    <w:p w:rsidR="00844540" w:rsidRDefault="003D5ED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doz iki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bölünerek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verilmelidir.</w:t>
      </w:r>
    </w:p>
    <w:p w:rsidR="002A2432" w:rsidRPr="00F14C5D" w:rsidRDefault="002A2432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E8D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Monoterapi</w:t>
      </w:r>
      <w:proofErr w:type="spellEnd"/>
    </w:p>
    <w:p w:rsidR="00844540" w:rsidRPr="00DE61FC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Erişkin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lerde ve 16 </w:t>
      </w: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15EBD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adolesanlarda</w:t>
      </w:r>
      <w:proofErr w:type="spellEnd"/>
    </w:p>
    <w:p w:rsidR="00DE61FC" w:rsidRDefault="00342C86" w:rsidP="00342C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Önerilen başlangıç dozu günde iki kez 250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mg'dır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 hafta sonra, günde iki defa 500 mg, ilk tedavi dozu olacak şekilde arttırılmalıdır. </w:t>
      </w:r>
    </w:p>
    <w:p w:rsidR="00342C86" w:rsidRPr="00F14C5D" w:rsidRDefault="00342C86" w:rsidP="00342C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yanıta göre doz, iki haftada bir, günde iki defa 250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mg'lık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artışlarla arttırılabilir. Maksimum doz günde iki kez 1500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mg'dır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1F59" w:rsidRPr="00F14C5D" w:rsidRDefault="009B1F59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İlave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tedavi</w:t>
      </w:r>
    </w:p>
    <w:p w:rsidR="00844540" w:rsidRPr="00DE61FC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Erişkin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ler(≥18 </w:t>
      </w: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) ve 50 kg ve </w:t>
      </w: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üstündeki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adolesanlarda</w:t>
      </w:r>
      <w:proofErr w:type="spellEnd"/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(12-17 </w:t>
      </w: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 tedavi dozu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iki kez 500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mg’dır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doza tedavinin ilk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nden itibaren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lanabilir.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yanıt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tolerabiliteye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doz,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iki kez 1500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mg’a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çıkartılabilir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Doz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değişimleri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2 – 4 haftada bir,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iki kez 500 mg olmak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arttırılabilir veya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azaltılabilir.</w:t>
      </w:r>
    </w:p>
    <w:p w:rsidR="00DE61FC" w:rsidRPr="00DE61FC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4-11 yaş arası çocuklarda ve 50 </w:t>
      </w:r>
      <w:proofErr w:type="spellStart"/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kg’ın</w:t>
      </w:r>
      <w:proofErr w:type="spellEnd"/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altındaki </w:t>
      </w:r>
      <w:proofErr w:type="spellStart"/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adolesanlarda</w:t>
      </w:r>
      <w:proofErr w:type="spellEnd"/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(12-17 yaş)</w:t>
      </w:r>
    </w:p>
    <w:p w:rsidR="00DE61FC" w:rsidRDefault="00DE61FC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yaş altı ç</w:t>
      </w:r>
      <w:r w:rsidRPr="00DE6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ocuklar ve bebeklerde oral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çözelti kullanılması</w:t>
      </w:r>
      <w:r w:rsidRPr="00DE6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DE61FC">
        <w:rPr>
          <w:rFonts w:ascii="Times New Roman" w:hAnsi="Times New Roman" w:cs="Times New Roman"/>
          <w:color w:val="000000" w:themeColor="text1"/>
          <w:sz w:val="24"/>
          <w:szCs w:val="24"/>
        </w:rPr>
        <w:t>nerilmektedir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Başlangıçtaki tedavi dozu günde iki kez 10 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kg’dır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Klinik yanıt ve toleransa göre, doz günde iki kez 30 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çıkartılabilir. Doz değişimleri her 2 haftada bir, günde iki kez 10 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geçmemek şartıyla arttırılabilir veya azaltılabilir.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 düşük etkili doz kullanılmalıdır.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50 kg ve üstündeki çocuklarda dozaj erişkinler ile aynıdır.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Hekim vücut ağırlığı ve doza göre en uygun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farmasötik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şekli ve dozu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reçetelemelidir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Çocuklar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adolesanlar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 önerilen dozaj: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9B1F59" w:rsidRPr="00F14C5D" w:rsidTr="00727AF2">
        <w:tc>
          <w:tcPr>
            <w:tcW w:w="3070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Ağırlık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Başlangıç dozu:</w:t>
            </w:r>
          </w:p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10 mg/kg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 doz:</w:t>
            </w:r>
          </w:p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30 mg/kg</w:t>
            </w:r>
          </w:p>
        </w:tc>
      </w:tr>
      <w:tr w:rsidR="00DE61FC" w:rsidRPr="00F14C5D" w:rsidTr="00727AF2">
        <w:tc>
          <w:tcPr>
            <w:tcW w:w="3070" w:type="dxa"/>
          </w:tcPr>
          <w:p w:rsidR="00DE61FC" w:rsidRPr="00F14C5D" w:rsidRDefault="00DE61FC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kg </w:t>
            </w:r>
            <w:r w:rsidRPr="00DE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071" w:type="dxa"/>
          </w:tcPr>
          <w:p w:rsidR="00DE61FC" w:rsidRPr="00F14C5D" w:rsidRDefault="00DE61FC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Günde iki kez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mg</w:t>
            </w:r>
          </w:p>
        </w:tc>
        <w:tc>
          <w:tcPr>
            <w:tcW w:w="3071" w:type="dxa"/>
          </w:tcPr>
          <w:p w:rsidR="00DE61FC" w:rsidRPr="00F14C5D" w:rsidRDefault="00DE61FC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Günde iki kez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mg</w:t>
            </w:r>
          </w:p>
        </w:tc>
      </w:tr>
      <w:tr w:rsidR="00DE61FC" w:rsidRPr="00F14C5D" w:rsidTr="00727AF2">
        <w:tc>
          <w:tcPr>
            <w:tcW w:w="3070" w:type="dxa"/>
          </w:tcPr>
          <w:p w:rsidR="00DE61FC" w:rsidRPr="00F14C5D" w:rsidRDefault="00DE61FC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kg </w:t>
            </w:r>
            <w:r w:rsidRPr="00DE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071" w:type="dxa"/>
          </w:tcPr>
          <w:p w:rsidR="00DE61FC" w:rsidRPr="00F14C5D" w:rsidRDefault="00DE61FC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mg</w:t>
            </w:r>
          </w:p>
        </w:tc>
        <w:tc>
          <w:tcPr>
            <w:tcW w:w="3071" w:type="dxa"/>
          </w:tcPr>
          <w:p w:rsidR="00DE61FC" w:rsidRPr="00F14C5D" w:rsidRDefault="00DE61FC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Günde iki kez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</w:t>
            </w:r>
          </w:p>
        </w:tc>
      </w:tr>
      <w:tr w:rsidR="009B1F59" w:rsidRPr="00F14C5D" w:rsidTr="00727AF2">
        <w:tc>
          <w:tcPr>
            <w:tcW w:w="3070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kg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250 mg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750 mg</w:t>
            </w:r>
          </w:p>
        </w:tc>
      </w:tr>
      <w:tr w:rsidR="009B1F59" w:rsidRPr="00F14C5D" w:rsidTr="00727AF2">
        <w:tc>
          <w:tcPr>
            <w:tcW w:w="3070" w:type="dxa"/>
          </w:tcPr>
          <w:p w:rsidR="009B1F59" w:rsidRPr="00F14C5D" w:rsidRDefault="009B1F59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kg üzeri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</w:t>
            </w:r>
            <w:r w:rsidR="00DE6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500 mg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1500 mg</w:t>
            </w:r>
          </w:p>
        </w:tc>
      </w:tr>
    </w:tbl>
    <w:p w:rsidR="00DE61FC" w:rsidRPr="00DE61FC" w:rsidRDefault="00DE61F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F14C5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  <w:bookmarkStart w:id="0" w:name="OLE_LINK5"/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bu ağırlığın altındaki çocukların tedaviye çözelti ile başlaması önerilir. </w:t>
      </w:r>
      <w:bookmarkEnd w:id="0"/>
    </w:p>
    <w:p w:rsidR="009B1F59" w:rsidRPr="00F14C5D" w:rsidRDefault="009B1F59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(</w:t>
      </w:r>
      <w:r w:rsidR="00DE61F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kg veya üzeri ağırlıktaki çocuk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adolesanlarda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dozaj erişkinler ile aynıdır.</w:t>
      </w:r>
    </w:p>
    <w:p w:rsidR="00DE61FC" w:rsidRDefault="00DE61FC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Uygulama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şekli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Film-kaplı tabletler oral yolla alınmalı ve yeterli miktarda su ile yutulmalıdır. Yemeklerle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birlikte ya da ayrı alınabilir.</w:t>
      </w:r>
    </w:p>
    <w:p w:rsidR="00844540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OLE_LINK3"/>
      <w:bookmarkStart w:id="2" w:name="OLE_LINK4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Ö</w:t>
      </w:r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popülasyonlara</w:t>
      </w:r>
      <w:proofErr w:type="gramEnd"/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ilişkin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ek bilgiler:</w:t>
      </w:r>
    </w:p>
    <w:p w:rsidR="000C7985" w:rsidRPr="00F14C5D" w:rsidRDefault="000C7985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3D5EDD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/Karaciğer yetmezliği:</w:t>
      </w:r>
    </w:p>
    <w:p w:rsidR="00844540" w:rsidRPr="00F14C5D" w:rsidRDefault="003D5ED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fonksiyonlarına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bireyselleştirilir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aşağıdaki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tablo kullanılır ve tabloda belirtildiği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şekil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doz ayarlaması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yapılır. Bu doz tablosunu kullanabilmek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hastanın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CLcr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 ml/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hesaplanmalıdır.</w:t>
      </w:r>
      <w:r w:rsidR="00877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kg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üstün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deki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 ve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adolesanlar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CLcr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ml/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değeri serum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(mg/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değeri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aşağıdaki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formüle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koyularak hesaplanır.</w:t>
      </w:r>
    </w:p>
    <w:p w:rsidR="00877A7B" w:rsidRPr="00F14C5D" w:rsidRDefault="00877A7B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5BA6" w:rsidRPr="00F14C5D" w:rsidRDefault="00395BA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CLcr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(ml/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)=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[ 140-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(yıl) ] x ağırlık (kg)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[x 0.85 (kadınlarda)]</w:t>
      </w:r>
    </w:p>
    <w:p w:rsidR="00844540" w:rsidRPr="00F14C5D" w:rsidRDefault="00395BA6" w:rsidP="00F52DB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72 x serum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(mg/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Daha sonra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CLcr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Yüzey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Alanı (VYA)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aşağıda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belirtildiği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şekil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ayarlanır:</w:t>
      </w:r>
    </w:p>
    <w:p w:rsidR="00395BA6" w:rsidRPr="00F14C5D" w:rsidRDefault="00395BA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CLcr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(ml/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/1.73m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)= </w:t>
      </w:r>
      <w:r w:rsidR="00D518B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8B3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</w:t>
      </w:r>
      <w:proofErr w:type="spellStart"/>
      <w:r w:rsidR="00395BA6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CLcr</w:t>
      </w:r>
      <w:proofErr w:type="spellEnd"/>
      <w:r w:rsidR="00395BA6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(ml/</w:t>
      </w:r>
      <w:proofErr w:type="spellStart"/>
      <w:r w:rsidR="00395BA6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dak</w:t>
      </w:r>
      <w:proofErr w:type="spellEnd"/>
      <w:r w:rsidR="00395BA6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)</w:t>
      </w:r>
      <w:r w:rsidR="00D518B3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</w:t>
      </w:r>
      <w:r w:rsidR="00D518B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x 1.73</w:t>
      </w:r>
    </w:p>
    <w:p w:rsidR="00844540" w:rsidRPr="00F14C5D" w:rsidRDefault="00844540" w:rsidP="00F52DB8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VYA (m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44540" w:rsidRPr="00F14C5D" w:rsidRDefault="00581F0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 Bozukluğu olan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50 </w:t>
      </w:r>
      <w:proofErr w:type="spellStart"/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kg’ın</w:t>
      </w:r>
      <w:proofErr w:type="spellEnd"/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üzerindeki </w:t>
      </w:r>
      <w:proofErr w:type="spellStart"/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</w:t>
      </w:r>
      <w:proofErr w:type="spellEnd"/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hastalarda doz ayarlaması</w:t>
      </w:r>
    </w:p>
    <w:tbl>
      <w:tblPr>
        <w:tblStyle w:val="TabloKlavuzu"/>
        <w:tblW w:w="0" w:type="auto"/>
        <w:tblLook w:val="04A0"/>
      </w:tblPr>
      <w:tblGrid>
        <w:gridCol w:w="3070"/>
        <w:gridCol w:w="2798"/>
        <w:gridCol w:w="3344"/>
      </w:tblGrid>
      <w:tr w:rsidR="00395BA6" w:rsidRPr="00F14C5D" w:rsidTr="00690360">
        <w:tc>
          <w:tcPr>
            <w:tcW w:w="307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</w:t>
            </w:r>
          </w:p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Kreatinin</w:t>
            </w:r>
            <w:proofErr w:type="spellEnd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Klerensi</w:t>
            </w:r>
            <w:proofErr w:type="spellEnd"/>
          </w:p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(ml/</w:t>
            </w: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dak</w:t>
            </w:r>
            <w:proofErr w:type="spellEnd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/1.73 m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Doz ve</w:t>
            </w:r>
          </w:p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Doz Sıklığı</w:t>
            </w:r>
          </w:p>
        </w:tc>
      </w:tr>
      <w:tr w:rsidR="00395BA6" w:rsidRPr="00F14C5D" w:rsidTr="00690360">
        <w:tc>
          <w:tcPr>
            <w:tcW w:w="307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</w:t>
            </w:r>
          </w:p>
        </w:tc>
        <w:tc>
          <w:tcPr>
            <w:tcW w:w="2798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80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500-1500 mg</w:t>
            </w:r>
          </w:p>
        </w:tc>
      </w:tr>
      <w:tr w:rsidR="00395BA6" w:rsidRPr="00F14C5D" w:rsidTr="00690360">
        <w:tc>
          <w:tcPr>
            <w:tcW w:w="307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Hafif</w:t>
            </w:r>
          </w:p>
        </w:tc>
        <w:tc>
          <w:tcPr>
            <w:tcW w:w="2798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50 - 79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500-1000 mg</w:t>
            </w:r>
          </w:p>
        </w:tc>
      </w:tr>
      <w:tr w:rsidR="00395BA6" w:rsidRPr="00F14C5D" w:rsidTr="00690360">
        <w:tc>
          <w:tcPr>
            <w:tcW w:w="307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</w:p>
        </w:tc>
        <w:tc>
          <w:tcPr>
            <w:tcW w:w="2798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30 - 49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250-750 mg</w:t>
            </w:r>
          </w:p>
        </w:tc>
      </w:tr>
      <w:tr w:rsidR="00395BA6" w:rsidRPr="00F14C5D" w:rsidTr="00690360">
        <w:tc>
          <w:tcPr>
            <w:tcW w:w="307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Ağır</w:t>
            </w:r>
          </w:p>
        </w:tc>
        <w:tc>
          <w:tcPr>
            <w:tcW w:w="2798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30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250-500 mg</w:t>
            </w:r>
          </w:p>
        </w:tc>
      </w:tr>
      <w:tr w:rsidR="00395BA6" w:rsidRPr="00F14C5D" w:rsidTr="00690360">
        <w:tc>
          <w:tcPr>
            <w:tcW w:w="3070" w:type="dxa"/>
          </w:tcPr>
          <w:p w:rsidR="00395BA6" w:rsidRPr="00F14C5D" w:rsidRDefault="00395BA6" w:rsidP="00EC6DB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 dönem böbrek yetmezliği ve</w:t>
            </w:r>
          </w:p>
          <w:p w:rsidR="00395BA6" w:rsidRPr="00F14C5D" w:rsidRDefault="00395BA6" w:rsidP="00EC6DB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diyalizdeki</w:t>
            </w:r>
            <w:proofErr w:type="gramEnd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hastalarda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2798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bir kez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(2)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500-1000 mg</w:t>
            </w:r>
          </w:p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tedavisinin ilk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nde 750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mg’lık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yükleme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Diyalizi takiben 250 – 500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mg’lık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 doz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BA6" w:rsidRPr="00F14C5D" w:rsidRDefault="00395BA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fonksiyonu ile ilgili olduğundan,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 olan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fonksiyonuna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ayarlanmalıdır. Bu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yetmezliği olan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hastalarda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gerçekleştirilen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 dayanır.</w:t>
      </w:r>
    </w:p>
    <w:p w:rsidR="00AC7526" w:rsidRPr="00F14C5D" w:rsidRDefault="00AC752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CLcr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/1.73m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olarak; genç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adölesanlar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çocuklar için aşağıdaki formül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Schwartz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formülü) kullanılarak serum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tayininden tahmin edilebilir: </w:t>
      </w:r>
    </w:p>
    <w:p w:rsidR="00976B6D" w:rsidRPr="00F14C5D" w:rsidRDefault="00976B6D" w:rsidP="00976B6D">
      <w:pPr>
        <w:tabs>
          <w:tab w:val="center" w:pos="354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CLcr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(ml/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/1.73m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=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Yükseklik (cm) x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6B6D" w:rsidRPr="00F14C5D" w:rsidRDefault="00976B6D" w:rsidP="00976B6D">
      <w:pPr>
        <w:tabs>
          <w:tab w:val="center" w:pos="354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Serum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0.55 13 yaşından küçük çocuklarda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adölesan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kadınlarda;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0.7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adölesan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erkeklerde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Böbrek fonksiyon bozukluğu olan çocuk ve 50 kg’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altındaki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 için doz ayarlaması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464" w:type="dxa"/>
        <w:tblLook w:val="04A0"/>
      </w:tblPr>
      <w:tblGrid>
        <w:gridCol w:w="3070"/>
        <w:gridCol w:w="2078"/>
        <w:gridCol w:w="4316"/>
      </w:tblGrid>
      <w:tr w:rsidR="00976B6D" w:rsidRPr="00F14C5D" w:rsidTr="00690360">
        <w:trPr>
          <w:trHeight w:val="550"/>
        </w:trPr>
        <w:tc>
          <w:tcPr>
            <w:tcW w:w="3070" w:type="dxa"/>
            <w:vMerge w:val="restart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</w:t>
            </w:r>
          </w:p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Kreatinin</w:t>
            </w:r>
            <w:proofErr w:type="spellEnd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Klerensi</w:t>
            </w:r>
            <w:proofErr w:type="spellEnd"/>
          </w:p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(ml/</w:t>
            </w: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dak</w:t>
            </w:r>
            <w:proofErr w:type="spellEnd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/1.73 m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16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Doz ve Doz Sıklığı</w:t>
            </w:r>
            <w:r w:rsidR="00481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1359" w:rsidRPr="00481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</w:tr>
      <w:tr w:rsidR="00976B6D" w:rsidRPr="00F14C5D" w:rsidTr="00690360">
        <w:trPr>
          <w:trHeight w:val="550"/>
        </w:trPr>
        <w:tc>
          <w:tcPr>
            <w:tcW w:w="3070" w:type="dxa"/>
            <w:vMerge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6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yaş ve üzeri çocuklar ve 50 kg altı </w:t>
            </w: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adölesanlar</w:t>
            </w:r>
            <w:proofErr w:type="spellEnd"/>
          </w:p>
        </w:tc>
      </w:tr>
      <w:tr w:rsidR="00976B6D" w:rsidRPr="00F14C5D" w:rsidTr="00690360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</w:t>
            </w:r>
          </w:p>
        </w:tc>
        <w:tc>
          <w:tcPr>
            <w:tcW w:w="2078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80</w:t>
            </w:r>
          </w:p>
        </w:tc>
        <w:tc>
          <w:tcPr>
            <w:tcW w:w="4316" w:type="dxa"/>
          </w:tcPr>
          <w:p w:rsidR="00976B6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10-30 mg/kg</w:t>
            </w:r>
          </w:p>
          <w:p w:rsidR="00481359" w:rsidRPr="00F14C5D" w:rsidRDefault="00481359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(0.10-0.30 ml/kg)</w:t>
            </w:r>
          </w:p>
        </w:tc>
      </w:tr>
      <w:tr w:rsidR="00976B6D" w:rsidRPr="00F14C5D" w:rsidTr="00690360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Hafif</w:t>
            </w:r>
          </w:p>
        </w:tc>
        <w:tc>
          <w:tcPr>
            <w:tcW w:w="2078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50 - 79</w:t>
            </w:r>
          </w:p>
        </w:tc>
        <w:tc>
          <w:tcPr>
            <w:tcW w:w="4316" w:type="dxa"/>
          </w:tcPr>
          <w:p w:rsidR="00976B6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10-20 mg/kg</w:t>
            </w:r>
          </w:p>
          <w:p w:rsidR="00481359" w:rsidRPr="00F14C5D" w:rsidRDefault="00481359" w:rsidP="00481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(0.10-0.20 ml/kg)</w:t>
            </w:r>
          </w:p>
        </w:tc>
      </w:tr>
      <w:tr w:rsidR="00976B6D" w:rsidRPr="00F14C5D" w:rsidTr="00690360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</w:p>
        </w:tc>
        <w:tc>
          <w:tcPr>
            <w:tcW w:w="2078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30 - 49</w:t>
            </w:r>
          </w:p>
        </w:tc>
        <w:tc>
          <w:tcPr>
            <w:tcW w:w="4316" w:type="dxa"/>
          </w:tcPr>
          <w:p w:rsidR="00976B6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5-15 mg/kg</w:t>
            </w:r>
          </w:p>
          <w:p w:rsidR="00481359" w:rsidRPr="00F14C5D" w:rsidRDefault="00481359" w:rsidP="00481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(0.05-0.15 ml/kg)</w:t>
            </w:r>
          </w:p>
        </w:tc>
      </w:tr>
      <w:tr w:rsidR="00976B6D" w:rsidRPr="00F14C5D" w:rsidTr="00690360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Ağır</w:t>
            </w:r>
          </w:p>
        </w:tc>
        <w:tc>
          <w:tcPr>
            <w:tcW w:w="2078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30</w:t>
            </w:r>
          </w:p>
        </w:tc>
        <w:tc>
          <w:tcPr>
            <w:tcW w:w="4316" w:type="dxa"/>
          </w:tcPr>
          <w:p w:rsidR="00976B6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5-10 mg/kg</w:t>
            </w:r>
          </w:p>
          <w:p w:rsidR="00481359" w:rsidRPr="00F14C5D" w:rsidRDefault="00481359" w:rsidP="00481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(0.05-0.10 ml/kg)</w:t>
            </w:r>
          </w:p>
        </w:tc>
      </w:tr>
      <w:tr w:rsidR="00976B6D" w:rsidRPr="00F14C5D" w:rsidTr="00690360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 dönem böbrek yetmezliği ve</w:t>
            </w:r>
            <w:r w:rsidR="00690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diyalizdeki hastalarda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2078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16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bir kez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10-20 mg/kg</w:t>
            </w:r>
          </w:p>
          <w:p w:rsidR="00976B6D" w:rsidRPr="00F14C5D" w:rsidRDefault="00481359" w:rsidP="00481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(0.10-0.20 ml/kg)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(2)(3)</w:t>
            </w:r>
          </w:p>
        </w:tc>
      </w:tr>
    </w:tbl>
    <w:p w:rsidR="00481359" w:rsidRDefault="00481359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69036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ablet yutma zorluğu olan hastalar ve 250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altındaki doz uygulamaları 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çözelti kullanılmalıdır. 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tedavisinin ilk gününde 15mg/kg ‘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(0.15ml/kg) yükleme dozu önerilir. 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Diyalizi takiben 5-10mg/kg’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(0.05-0.10 ml/kg) ek doz önerilir. 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Hafif – orta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şiddet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teki karaciğer yetmezliğinde herhangi bir doz ayarlanmasına gerek yoktur.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Ağır karaciğer yetmezliği olan hastalarda,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yetmezliğini yeterince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yansıtmayabilir. Bu nedenle,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değerinin &lt;60 ml/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/1.73m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olduğu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durumlarda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idame dozunun %50 azaltılması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7319" w:rsidRPr="00F14C5D" w:rsidRDefault="00DC7319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Pediyatrik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</w:t>
      </w:r>
      <w:proofErr w:type="gram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481359" w:rsidRDefault="00481359" w:rsidP="00F46A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L-CETAM, 4 yaşın altındaki çocuklarda kullanılmamalıdır. Çözelti formu, 4 yaşın altındaki çocuklarda kullanılan takdim şeklidir. Ayrıca tabletlerin mevcut doz kuvvetleri, 25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kg’ın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altındaki çocukların başlangıç tedavisi için yutma zorluğu olan hastalar ve 250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mg’ın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altındaki doz uygulamaları için uygun değildir. Tüm bu durumlarda çözelti kullanılmalıdır.</w:t>
      </w:r>
    </w:p>
    <w:p w:rsidR="00FE64B5" w:rsidRPr="00F14C5D" w:rsidRDefault="00FE64B5" w:rsidP="00F46A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yaşın altındaki çocuk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adölesanlarda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monoterapi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tedavide kullanılmaz.</w:t>
      </w:r>
    </w:p>
    <w:p w:rsidR="00FE64B5" w:rsidRPr="00F14C5D" w:rsidRDefault="00FE64B5" w:rsidP="00F46A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Geriyatrik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</w:t>
      </w:r>
      <w:proofErr w:type="gram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 hastalarda (65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üstün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dekilerde),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fonksiyonu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azalmış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ise dozun ayarlanması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4813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976B6D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bkz. Bölüm </w:t>
      </w:r>
      <w:proofErr w:type="gramStart"/>
      <w:r w:rsidR="00976B6D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4.2</w:t>
      </w:r>
      <w:proofErr w:type="gramEnd"/>
      <w:r w:rsidR="00976B6D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481359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Pozoloji</w:t>
      </w:r>
      <w:proofErr w:type="spellEnd"/>
      <w:r w:rsidR="00481359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Uygulama Şekli, </w:t>
      </w:r>
      <w:r w:rsidR="00976B6D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Böbrek/Karaciğer yetmezliği</w:t>
      </w:r>
      <w:r w:rsidR="00844540" w:rsidRPr="004813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666CEC" w:rsidRPr="00F14C5D" w:rsidRDefault="00666CE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</w:t>
      </w:r>
      <w:r w:rsidR="00D37B9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Kontrendikasyonlar</w:t>
      </w:r>
      <w:proofErr w:type="spellEnd"/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diğer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pir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olidon</w:t>
      </w:r>
      <w:proofErr w:type="spellEnd"/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revlerine veya yardımcı maddelerden herhangi birine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aşırı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duyarlılığı olanlarda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kontrendikedir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246C" w:rsidRPr="00F14C5D" w:rsidRDefault="00A9246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</w:t>
      </w:r>
      <w:r w:rsidR="00D37B9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kullanım uyarıları ve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önlemleri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Tedavinin kesilmesi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Mevcut klinik deneyime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tedavisinin kademeli bir doz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azaltımı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</w:t>
      </w:r>
      <w:r w:rsidR="001663D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sonlandırılmasıdır. (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Örn</w:t>
      </w:r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 ve 50 </w:t>
      </w:r>
      <w:proofErr w:type="spellStart"/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>kg’ın</w:t>
      </w:r>
      <w:proofErr w:type="spellEnd"/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üzerindeki </w:t>
      </w:r>
      <w:proofErr w:type="spellStart"/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>adolesanlarda</w:t>
      </w:r>
      <w:proofErr w:type="spellEnd"/>
      <w:proofErr w:type="gramStart"/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>,;</w:t>
      </w:r>
      <w:proofErr w:type="gramEnd"/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2 - 4 haftada bir, 2 x 500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azaltarak; 50</w:t>
      </w:r>
      <w:r w:rsidR="00A90B29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kg’ın</w:t>
      </w:r>
      <w:proofErr w:type="spellEnd"/>
      <w:r w:rsidR="001663D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altındaki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ve </w:t>
      </w:r>
      <w:proofErr w:type="spellStart"/>
      <w:r w:rsidR="005B732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adolesanlarda</w:t>
      </w:r>
      <w:proofErr w:type="spellEnd"/>
      <w:r w:rsidR="005B732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2 haftada bir dozu 2 x 10 mg/kg/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gün’ü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geçmemek</w:t>
      </w:r>
      <w:r w:rsidR="001663D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şartıyla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azaltarak)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 yetmezliği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Böbrek yetmezliği olanlarda doz ayarlaması gerekebilir. Bu nedenle ağır karaciğer yetmezliği olan hastalara doz seçiminde, önce böbrek fonksiyonlarının değerlendirilmesi önerilmektedir </w:t>
      </w:r>
      <w:r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(bkz. Bölüm </w:t>
      </w:r>
      <w:proofErr w:type="gramStart"/>
      <w:r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4.2</w:t>
      </w:r>
      <w:proofErr w:type="gramEnd"/>
      <w:r w:rsidR="00506857"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06857"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Pozoloji</w:t>
      </w:r>
      <w:proofErr w:type="spellEnd"/>
      <w:r w:rsidR="00506857"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ve Uygulama Şekli</w:t>
      </w:r>
      <w:r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İntihar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Anti-epileptik ilaçlar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dahil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ile tedavi edilen hastalarda intihar, intihar girişimi, intihar düşüncesi ve davranışı bildirilmiştir. Anti-epileptik ilaçların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randomize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 çalışmalarına ait bir meta-analiz ile intihar düşünce ve davranışı görülme riskinde küçük bir artış olduğu gösterilmiştir. Bu riskin mekanizması bilinmemektedir. Bu nedenle hastalar depresyon belirtileri, intihar düşüncesi ve davranışı açısından yakından izlenmeli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uygun tedavi dikkate alınmalıdır. Depresyon belirtileri, intihar düşüncesi ve davranışı ortaya çıktığında hasta ve hasta yakınının tıbbi destek alması önerilmelidir.</w:t>
      </w: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popülasyon</w:t>
      </w:r>
      <w:proofErr w:type="gramEnd"/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 4 yaşın altındaki çocuklarda kullanılmamalıdır</w:t>
      </w:r>
      <w:r w:rsidR="006903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larla ilgili mevcut verilerde, ergenlik ve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büyüme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üzerine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ki görü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lmemektedir.</w:t>
      </w:r>
      <w:r w:rsid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Bununla birlikte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larda,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öğrenme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zeka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büyüme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endokrin fonksiyon, ergenlik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sahibi olma potansiyeli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üzerindeki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uzun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li etkileri bilinmemektedir.</w:t>
      </w:r>
    </w:p>
    <w:p w:rsidR="0079541E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etkililiği ve güvenliliği, 1 yaş altı bebeklerde ayrıntılı olarak değerlendirilmiştir. Yapılan klinik çalışmalarda 1 yaş altı 35 bebek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dahil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edilmiştir ki bunların yalnızca 13’ü 6 aydan küçük bebeklerdir.</w:t>
      </w:r>
    </w:p>
    <w:p w:rsidR="00C35147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D96" w:rsidRDefault="00060D9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tıbbi ürün FD&amp;C </w:t>
      </w:r>
      <w:proofErr w:type="spellStart"/>
      <w:r w:rsidRPr="00060D96">
        <w:rPr>
          <w:rFonts w:ascii="Times New Roman" w:hAnsi="Times New Roman" w:cs="Times New Roman"/>
          <w:color w:val="000000" w:themeColor="text1"/>
          <w:sz w:val="24"/>
          <w:szCs w:val="24"/>
        </w:rPr>
        <w:t>Yellow</w:t>
      </w:r>
      <w:proofErr w:type="spellEnd"/>
      <w:r w:rsidRPr="00060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#6/</w:t>
      </w:r>
      <w:proofErr w:type="spellStart"/>
      <w:r w:rsidRPr="00060D96">
        <w:rPr>
          <w:rFonts w:ascii="Times New Roman" w:hAnsi="Times New Roman" w:cs="Times New Roman"/>
          <w:color w:val="000000" w:themeColor="text1"/>
          <w:sz w:val="24"/>
          <w:szCs w:val="24"/>
        </w:rPr>
        <w:t>Sunset</w:t>
      </w:r>
      <w:proofErr w:type="spellEnd"/>
      <w:r w:rsidRPr="00060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0D96">
        <w:rPr>
          <w:rFonts w:ascii="Times New Roman" w:hAnsi="Times New Roman" w:cs="Times New Roman"/>
          <w:color w:val="000000" w:themeColor="text1"/>
          <w:sz w:val="24"/>
          <w:szCs w:val="24"/>
        </w:rPr>
        <w:t>Yellow</w:t>
      </w:r>
      <w:proofErr w:type="spellEnd"/>
      <w:r w:rsidRPr="00060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FCF AL Lak ihtiva eder. </w:t>
      </w:r>
      <w:proofErr w:type="spellStart"/>
      <w:r w:rsidRPr="00060D96">
        <w:rPr>
          <w:rFonts w:ascii="Times New Roman" w:hAnsi="Times New Roman" w:cs="Times New Roman"/>
          <w:color w:val="000000" w:themeColor="text1"/>
          <w:sz w:val="24"/>
          <w:szCs w:val="24"/>
        </w:rPr>
        <w:t>Allerjik</w:t>
      </w:r>
      <w:proofErr w:type="spellEnd"/>
      <w:r w:rsidRPr="00060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reaksiyonlara neden olabilir.</w:t>
      </w:r>
    </w:p>
    <w:p w:rsidR="00060D96" w:rsidRPr="00F14C5D" w:rsidRDefault="00060D9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4.5</w:t>
      </w:r>
      <w:r w:rsidR="00D37B9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Diğer tıbbi </w:t>
      </w:r>
      <w:r w:rsidR="00F7786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ürün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lerle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etkileşim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diğer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etkileşim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şekil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leri</w:t>
      </w: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tıbbi ürünler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 yapılan pazarlama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önce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klinik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lardan elde edilen veriler, </w:t>
      </w:r>
      <w:proofErr w:type="spellStart"/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mevcut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ların (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fenitoin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karbamazepin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valproik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asid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fenobarbital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lamotrijin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gabapentin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primidon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serum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konsantrasyonlarını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bu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 da </w:t>
      </w:r>
      <w:proofErr w:type="spellStart"/>
      <w:r w:rsidR="00F46AE9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evetirasetam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farmakokinetiğini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etkilemediklerini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ermektedir.</w:t>
      </w: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Probenesid</w:t>
      </w:r>
      <w:proofErr w:type="spellEnd"/>
    </w:p>
    <w:p w:rsidR="00844540" w:rsidRPr="00F14C5D" w:rsidRDefault="00581F0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 </w:t>
      </w:r>
      <w:proofErr w:type="spellStart"/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tübü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sekresyonu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bloke eden bir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probenesid’in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4 kez 500 mg)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levetirasetam'ın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değil ama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metabolitinin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renal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klerensini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inhibe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ettiği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Buna rağmen bu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kalır. Aktif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übü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sekresyonla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atılan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diğer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 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renal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düşürmesi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beklenebilir.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Levetirasetam'ın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probenesid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ndeki etkisi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çalışılmamıştır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levetirasetam'ın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diğer aktif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sekrete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edilen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örn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steroid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antienflamatuvar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 (NSA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D),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sulfonamidler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metotreksat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gibi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ndeki etkisi bilinmemektedir.</w:t>
      </w:r>
    </w:p>
    <w:p w:rsidR="00060D96" w:rsidRPr="00F14C5D" w:rsidRDefault="00060D9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8FA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Oral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kontraseptifler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diğer </w:t>
      </w:r>
      <w:proofErr w:type="spellStart"/>
      <w:r w:rsidR="006B18F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farmakokinetik</w:t>
      </w:r>
      <w:proofErr w:type="spellEnd"/>
      <w:r w:rsidR="006B18F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etkileşimler</w:t>
      </w:r>
    </w:p>
    <w:p w:rsidR="00CE6CB4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Levetirasetam'ın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mg’lık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dozu, </w:t>
      </w:r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oral </w:t>
      </w:r>
      <w:proofErr w:type="spellStart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kontraseptiflerin</w:t>
      </w:r>
      <w:proofErr w:type="spellEnd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etinil</w:t>
      </w:r>
      <w:proofErr w:type="spellEnd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stradiol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levonorgestrel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farmakokinetiğini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endokrin parametreleri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luteinizan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hormon ve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progesteron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değiştirmemiştir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2000mg/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digoksin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varfarinin</w:t>
      </w:r>
      <w:proofErr w:type="spellEnd"/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6AE9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farmakokinetiğini</w:t>
      </w:r>
      <w:proofErr w:type="spellEnd"/>
      <w:r w:rsidR="00F46AE9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etkilememiş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tir;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protrombin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zamanları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değişmemiştir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Digoksin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oral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kontraseptifler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varfarin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birlikte kullanımı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farmakokinetiğini</w:t>
      </w:r>
      <w:proofErr w:type="spellEnd"/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etkilememiştir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18FA" w:rsidRPr="00F14C5D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8FA" w:rsidRPr="00F14C5D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Antasidler</w:t>
      </w:r>
      <w:proofErr w:type="spellEnd"/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Antasidlerin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emilimi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üzerine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etkisi ile ilgili veri yoktur.</w:t>
      </w:r>
    </w:p>
    <w:p w:rsidR="006B18FA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CB4" w:rsidRPr="00CE6CB4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Laksatifler</w:t>
      </w:r>
      <w:proofErr w:type="spellEnd"/>
    </w:p>
    <w:p w:rsidR="00CE6CB4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Oral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zaman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ozmotik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laksatif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makrogol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ımında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etkilili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inin azald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ığını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gösteren izole raporlar mevcuttur. Bu nedenle,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kullan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ımın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bir saat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nce ya da bir saat sonra oral yoldan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makrogol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nmamal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ıdır.</w:t>
      </w:r>
    </w:p>
    <w:p w:rsidR="00CE6CB4" w:rsidRPr="00F14C5D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8FA" w:rsidRPr="00F14C5D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Gıda ve alkol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Gıdalar,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emilim miktarını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etkilememiştir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ancak emilim hızı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hafifçe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azalmıştır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alkol ile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ilgili veri yoktur.</w:t>
      </w:r>
    </w:p>
    <w:p w:rsidR="00666CEC" w:rsidRPr="00F14C5D" w:rsidRDefault="00666CEC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B15EBD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lara</w:t>
      </w:r>
      <w:proofErr w:type="gramEnd"/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ilişki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 ek bilgiler: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</w:t>
      </w:r>
      <w:proofErr w:type="gram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lerdeki ile uyumlu olarak, 60 mg/kg/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’e kadar dozlarla tedavi edilen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hastalarda, klinikte belirgin bir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kanıtı yoktur.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 ila 17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epilepsi hastalarında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retrospektif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farmakokinetik</w:t>
      </w:r>
      <w:proofErr w:type="spellEnd"/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değerlendirmesi, oral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ek tedavi uygulanmasının, birlikte uygulanan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karbamazepin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valproik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asidin kararlı-durum serum konsantrasyonlarını etkilemediğini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doğrulamıştır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Bununla beraber, veriler enzim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indükleyen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antiepileptiklerin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larda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klerensini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%20 arttırdığını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göstermiştir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Dozun ayarlanması gerekmez.</w:t>
      </w:r>
    </w:p>
    <w:p w:rsidR="00DC7319" w:rsidRPr="00F14C5D" w:rsidRDefault="00DC7319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4.6 Gebelik ve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laktasyon</w:t>
      </w:r>
      <w:proofErr w:type="spellEnd"/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Genel tavsiye</w:t>
      </w: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Gebelik kategoris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 “</w:t>
      </w:r>
      <w:proofErr w:type="spellStart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C”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7985" w:rsidRDefault="000C798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Çocuk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doğurma potansiyeli bulunan kadınlar / Doğum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kontrolü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Kontrasepsiyon</w:t>
      </w:r>
      <w:proofErr w:type="spellEnd"/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844540" w:rsidRPr="00F14C5D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L-CETAM çocuk doğurma potansiyeli olan ve doğum kontrolü uygulamayan kadınlarda </w:t>
      </w:r>
      <w:r w:rsid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olarak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gerekli olmadıkça önerilmemektedir.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Gebelik </w:t>
      </w:r>
      <w:r w:rsidR="008745C8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dönem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</w:p>
    <w:p w:rsidR="00CE6CB4" w:rsidRPr="00CE6CB4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Çok sayı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prospektif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gebelik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kayı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çalışmaların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dan elde edilen pazarlama sonrası veriler,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gebeliğinin ilk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trimesterinde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monoterapisine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maruz kalm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1000'in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zerindeki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kadındaki sonuçlan ortaya koymuştur. Genel olarak bu veriler, maj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proofErr w:type="spellStart"/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konjenital</w:t>
      </w:r>
      <w:proofErr w:type="spellEnd"/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malformasyon</w:t>
      </w:r>
      <w:proofErr w:type="spellEnd"/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riskinde önemli derecede 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nermemesine rağmen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terat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jenik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risk tamamıyla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lanamamaktadır. Çoklu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ilaçla tedavi,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monoterapiye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yasl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daha y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ksek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konjenital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malformasyon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riski ile </w:t>
      </w:r>
      <w:r w:rsidR="000074B0"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ilişkilendirilmektedir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bu nedenle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monoterapi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dikkate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lınmalıdır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hamilelikte klinik olarak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gerekli olmad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a kullan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lmama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lıdır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6CB4" w:rsidRPr="000074B0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Hayvanlar 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zerinde </w:t>
      </w:r>
      <w:r w:rsidR="000074B0"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yapılan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çalışmalar ü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reme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toksisitesinin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74B0"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bulunduğunu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stermi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 </w:t>
      </w:r>
      <w:proofErr w:type="gramStart"/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="000074B0"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bkz</w:t>
      </w: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CE6CB4" w:rsidRPr="000074B0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0074B0"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ölüm</w:t>
      </w: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5.3</w:t>
      </w:r>
      <w:proofErr w:type="gramEnd"/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"Klinik </w:t>
      </w:r>
      <w:r w:rsidR="000074B0"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öncesi</w:t>
      </w: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g</w:t>
      </w:r>
      <w:r w:rsidR="000074B0"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üvenlilik verileri”</w:t>
      </w: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CE6CB4" w:rsidRPr="00F14C5D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74B0" w:rsidRDefault="006B18FA" w:rsidP="006B18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Diğer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ilaçlarda olduğu gibi hamilelikteki fizyolojik değişiklikler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konsantrasyonunu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etkileyebilir. Hamilelikte,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konsantrasyonlarının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azalması ile ilgili bildirimler bulunmaktadır. Bu düşüşler daha çok üçüncü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trimesterde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(hamilelik öncesi %60 bazal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kadar) bildirilmiştir. L-CETAM ile tedavi edilen hamile kadınların klinik açıdan kontrollerinin sağlanıldığından emin olunmalıdır. </w:t>
      </w:r>
    </w:p>
    <w:p w:rsidR="006B18FA" w:rsidRPr="00F14C5D" w:rsidRDefault="006B18FA" w:rsidP="006B18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tedavilerin kesilmesi sonucunda hastalık alevlenebilir ve bu durum anneye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fetusa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zararlı olabilir.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Laktasyon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745C8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dönem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</w:p>
    <w:p w:rsidR="000074B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anne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sütü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atılmaktadır. Bu nedenle,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tedavi sırasında anne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sütü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besleme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lmez. 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Ancak, emzirmenin durd</w:t>
      </w:r>
      <w:r w:rsidR="000A1EA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urulup durdurulmayacağına ya da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0A1EA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CETAM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tedavisinin durdurulup durdurulmayacağına/tedaviden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kaçınılıp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kaçınılmayacağına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 verirken emzirmenin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ısından faydası ve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tedavisinin emziren anne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ısından faydası dikkate alınmalıdır.</w:t>
      </w:r>
      <w:r w:rsidR="000C79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745C8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Üreme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yeteneği /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Fertilite</w:t>
      </w:r>
      <w:proofErr w:type="spellEnd"/>
    </w:p>
    <w:p w:rsidR="0032410E" w:rsidRDefault="006B18FA" w:rsidP="000074B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Hayvan çalışmaları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fertilitenin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etkilenmediğini göstermiştir (</w:t>
      </w:r>
      <w:r w:rsidR="000074B0" w:rsidRPr="000074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bkz, Bölüm </w:t>
      </w:r>
      <w:proofErr w:type="gramStart"/>
      <w:r w:rsidR="000074B0" w:rsidRPr="000074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5.3</w:t>
      </w:r>
      <w:proofErr w:type="gramEnd"/>
      <w:r w:rsidR="000074B0" w:rsidRPr="000074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"Klinik öncesi güvenlilik verileri”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). Klinik veri mevcut değildir, insanlara yönelik potansiyel risk bilinmemektedir.</w:t>
      </w:r>
    </w:p>
    <w:p w:rsidR="000C7985" w:rsidRDefault="000C7985" w:rsidP="000074B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7985" w:rsidRPr="000074B0" w:rsidRDefault="000C7985" w:rsidP="000074B0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4.7 </w:t>
      </w:r>
      <w:r w:rsidR="008745C8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Araç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makine kullanımı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üzeri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ndeki etkiler</w:t>
      </w:r>
    </w:p>
    <w:p w:rsidR="00844540" w:rsidRPr="00F14C5D" w:rsidRDefault="008745C8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Araç</w:t>
      </w:r>
      <w:r w:rsidR="00650CD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makine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kullanımı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ndeki etkisine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yönelik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yapılmamıştır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Bu nedenle,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olası farklı bireysel duyarlılığa bağlı olarak,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özellikl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tedavinin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başlangıcında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doz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larında, uyuklama hali veya diğer santral sinir sistemi ile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belirtiler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görülebilir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Bu</w:t>
      </w:r>
      <w:r w:rsidR="00650CD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ndan dolayı beceri gerektiren 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 yapacak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kişilerin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örn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sürücülerinin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makine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operatörlerinin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dikkatli olması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="00650CD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Bu tü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aktiviteleri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gerçekleştirecek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hastaların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becerilerinin etkilenmediği saptanıncaya 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kadar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makine kullanması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önerilmemektedir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4.8 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stenmeyen etkiler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Güvenlilik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profilinin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özeti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Aşağıda verilen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 profili, tüm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endikasyonların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incelendiği ve </w:t>
      </w:r>
      <w:proofErr w:type="spellStart"/>
      <w:r w:rsidR="00695BC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695BC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tedavi edilen toplam 3416 hasta ile yapılan birleştirilmiş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 klinik çalışmaların analizine dayanmaktadır. Bu veriler, ilgili açık etiketli uzatma çalışmalarının yanı sıra pazarlama sonrası deneyimde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kullanımı ile desteklenmektedir. En sık bildirilen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reaksiyonlar,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nazofarenjit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somnolans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baş ağrısı, halsizlik ve sersemlik hissidir. </w:t>
      </w:r>
      <w:proofErr w:type="spellStart"/>
      <w:r w:rsidR="0092438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güvenlilik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yaş grupları (erişkin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hastalar) ve onaylı epilepsi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endikasyonları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 genellikle benzerdir.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çalışmalarda (erişkinler, ergenler, çocuklar ve bebekler &gt;1 ay) veya ilacın pazarlama sonrası deneyiminde bildirilen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reaksiyonlar sistemlere ve sıklığa göre aşağıda listelenmiştir: Çok yaygın(≥ 1/10); yaygın(≥ 1/100, &lt;1/10); yaygın olmayan(≥ 1/1000, &lt; 1/100); seyrek (≥1/10000, &lt; 1/1000); çok seyrek (&lt; 1/10000); bilinmiyor (eldeki verilerden hareketle tahmin edilemiyor)</w:t>
      </w:r>
      <w:proofErr w:type="gramEnd"/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Enfeksiyonlar ve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enfestasyonlar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Çok 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Nazofarenjit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Enfeksiyon </w:t>
      </w:r>
    </w:p>
    <w:p w:rsidR="002A2432" w:rsidRPr="005738E8" w:rsidRDefault="002A2432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Kan ve lenfatik sistem hastalıkları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Trombositopeni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lökopeni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578B" w:rsidRDefault="00E30C81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Nötropeni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pansitopeni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agranülositoz</w:t>
      </w:r>
      <w:proofErr w:type="spellEnd"/>
    </w:p>
    <w:p w:rsidR="002A2432" w:rsidRDefault="002A2432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7985" w:rsidRPr="00F14C5D" w:rsidRDefault="000C7985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Default="00E30C81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Bağışıklık sistemi hastalıkları:</w:t>
      </w:r>
    </w:p>
    <w:p w:rsidR="00E30C81" w:rsidRDefault="00E30C81" w:rsidP="00A0578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Seyrek: </w:t>
      </w:r>
      <w:proofErr w:type="spellStart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Eozinofil</w:t>
      </w:r>
      <w:proofErr w:type="spellEnd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 sistemik </w:t>
      </w:r>
      <w:proofErr w:type="gramStart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semptomların</w:t>
      </w:r>
      <w:proofErr w:type="gramEnd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eşlik ettiği ilaç reaksiyonu (DRESS)</w:t>
      </w:r>
    </w:p>
    <w:p w:rsidR="002A2432" w:rsidRPr="00E30C81" w:rsidRDefault="002A2432" w:rsidP="00A0578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Metabolizma ve beslenme bozuk</w:t>
      </w:r>
      <w:r w:rsidR="005738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ukları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Anoreksi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Kilo artışı, kilo azalması </w:t>
      </w:r>
    </w:p>
    <w:p w:rsidR="00A0578B" w:rsidRDefault="00E30C81" w:rsidP="00A0578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Seyrek: </w:t>
      </w:r>
      <w:proofErr w:type="spellStart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Hiponatremi</w:t>
      </w:r>
      <w:proofErr w:type="spellEnd"/>
    </w:p>
    <w:p w:rsidR="002A2432" w:rsidRPr="00E30C81" w:rsidRDefault="002A2432" w:rsidP="00A0578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Psikiyatrik hastalıklar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Depresyon, düşmanca davranış/saldırganlık,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anksiyete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insomni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sinirlilik/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irritabilite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İntihar girişimi, intihar düşüncesi,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psikotik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bozukluklar, davranış bozuklukları,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halüsinasyon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kızgınlık,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konfüzyon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panik atak, duygusal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labilite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duygudurum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dalgalanmaları, ajitasyon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İntihar, kişilik bozuklukları, anormal düşünceler </w:t>
      </w:r>
    </w:p>
    <w:p w:rsidR="002A2432" w:rsidRPr="00E30C81" w:rsidRDefault="002A2432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Sinir sistemi hastalıkları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Çok 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Somnolans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baş ağrısı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Konvülsiyon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denge bozukluğu, sersemlik hissi, tremor, letarji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Amnezi, bellek bozukluğu, koordinasyon bozukluğu/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ataksi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parestezi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dikkat dağınıklığı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Koreoatetoz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diskinezi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hiperkinezi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2432" w:rsidRPr="00E30C81" w:rsidRDefault="002A2432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Göz hastalıkları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Çift görme, bulanık görme </w:t>
      </w:r>
    </w:p>
    <w:p w:rsidR="002A2432" w:rsidRPr="00E30C81" w:rsidRDefault="002A2432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Kulak ve iç kulak hastalıkları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Vertigo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2432" w:rsidRPr="00E30C81" w:rsidRDefault="002A2432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Solunum, göğüs bozuklukları ve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mediastinal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hastalıklar </w:t>
      </w:r>
    </w:p>
    <w:p w:rsidR="00A0578B" w:rsidRPr="00E30C81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Öksürük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Gastrointestinal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hastalıklar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Abdominal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ağrı, ishal,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dispepsi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bulantı, kusma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Pankreatit</w:t>
      </w:r>
      <w:proofErr w:type="spellEnd"/>
    </w:p>
    <w:p w:rsidR="002A2432" w:rsidRPr="00F14C5D" w:rsidRDefault="002A2432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Hepatobiliyer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hastalıklar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Karaciğer fonksiyon testlerinde anormallik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Karaciğer yetmezliği, hepatit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Deri ve derialtı doku hastalıkları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Döküntü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Alopesi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ekzema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kaşıntı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Toksik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epidermal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nekroliz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Stevens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-Johnson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sendromu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eritema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multiforme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2432" w:rsidRPr="00E30C81" w:rsidRDefault="002A2432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Kas-iskelet bozuklukları, bağ dokusu ve kemik hastalıkları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Yaygın olmayan: Kas zayıflığı, kas ağrısı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miyalji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2A2432" w:rsidRPr="00E30C81" w:rsidRDefault="002A2432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Genel bozukluklar ve uygulama bölgesine ilişkin hastalıklar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Asteni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halsizlik </w:t>
      </w:r>
    </w:p>
    <w:p w:rsidR="002A2432" w:rsidRPr="00E30C81" w:rsidRDefault="002A2432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Yaralanma, zehirlenme ve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prosedürel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komplikasyonlar</w:t>
      </w:r>
      <w:proofErr w:type="gram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Yaygın olmayan: Yaralanma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Seçilen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reaksiyonların tanımlanması </w:t>
      </w:r>
    </w:p>
    <w:p w:rsidR="00A0578B" w:rsidRPr="00F14C5D" w:rsidRDefault="00924384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birlikte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topiramatın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uygulanması halinde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anoreksi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riski daha yüksek olmaktadır. Çeşitli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alopesi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vakalarında,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tedavisi sonlandırıldığında iyileşme gözlenmiştir.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Bazı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pansitopeni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vakalarında kemik iliği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supresyonu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saptanmıştır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384" w:rsidRPr="00924384" w:rsidRDefault="00924384" w:rsidP="009243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pop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lasyon</w:t>
      </w:r>
      <w:proofErr w:type="gramEnd"/>
    </w:p>
    <w:p w:rsidR="00924384" w:rsidRDefault="00924384" w:rsidP="009243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çık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etiketli uzatma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malarında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 ila 4 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arasındaki toplam 190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hasta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tedavi edilmiştir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Bu hastaların 60'ı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trollü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malarda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ile tedavi edilmiştir. 4-16 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arasındaki toplam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645 hasta ise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çı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k etiketli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uzatma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malarında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edavi edilmiştir. Bu hastaların 233'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 çalış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malarda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tedavi edilmiştir. Her iki </w:t>
      </w:r>
      <w:proofErr w:type="spell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bunda da elde edilen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veriler pazarlama sonrası deneyim ile desteklenmektedir.</w:t>
      </w:r>
    </w:p>
    <w:p w:rsidR="00924384" w:rsidRDefault="00924384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AF1" w:rsidRPr="00F14C5D" w:rsidRDefault="00A0578B" w:rsidP="00E01A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CETAM’ın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yaş grupları ve onaylı epilepsi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endikasyonları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 genellikle benzerdir.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 çalışmalardaki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hastalarda elde edilen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güvenlilik sonuçları, erişkinlere göre çocuklarda daha yaygın olan davranış bozuklukları ve psikiyatrik durumlar dışında L-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CETAM’ın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güvenlilik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profiline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uygun bulunmuştur. 4 ila 16 yaş arasındaki çocuklar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adolesanlarda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kusma (çok yaygın, %11.2),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ajitasyon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(yaygın, %3.4),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duygudurum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dalgalanmaları (yaygın, %2.1), duygusal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labilite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(yaygın, %1.7),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agresyon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(yaygın, %8.2), davranış bozukluğu (yaygın, %5.6) ve letarji (yaygın, %3.9) diğer yaş grupları veya genel güvenlilik profiline göre en sık bi</w:t>
      </w:r>
      <w:r w:rsidR="0021583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ldirilen istenmeyen etkilerdir.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 - 4 ya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ş arası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bebekler ve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ocuklarda ise, </w:t>
      </w:r>
      <w:proofErr w:type="spellStart"/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irritabilite</w:t>
      </w:r>
      <w:proofErr w:type="spellEnd"/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 yaygın, 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proofErr w:type="gramStart"/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proofErr w:type="gramEnd"/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) ve koordinasyon bozukluğu (yaygın, %3.3) di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ya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grupları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genel g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venlilik profiline g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re en s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k bildirilen istenmeyen etkilerdir.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inferiorite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dizaynlı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çift kör,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-kontrollü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güvenlilik çalışması,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başlangıçlı nöbetleri olan 4-16 yaş arası çocuklarda </w:t>
      </w:r>
      <w:proofErr w:type="spellStart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kognitif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nörofizyolojik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etkilerini değerlendirmiştir. Her bir protokol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popülasyonu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Leiter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-R Dikkat ve Hafıza, Hafıza Ekranı Birleşik skorunun başlangıçtan itibaren gösterdiği değişiklik dikkate alındığında </w:t>
      </w:r>
      <w:proofErr w:type="spellStart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plasebodan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farklı olmadığı sonucuna varılmıştır. Davranışsal ve duygusal işlevler ile ilgili sonuçlar, </w:t>
      </w:r>
      <w:proofErr w:type="spellStart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tedavi edilen hastalarda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agresif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davranış üzerine bir kötüleşmeyi, valide edilmiş bir enstrümanın (CBCL-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Achenbach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Çocuk Davranış Kontrol Listesi) kullanıldığı standardize ve sistematik bir yol ile ölçerek göstermektedir. Ancak uzun süreli açık etiketli takip çalışmasında </w:t>
      </w:r>
      <w:proofErr w:type="spellStart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tedavi edilen denekler, ortalama olarak bakıldığında, davranışsal ve duygusal işlevleri ile ilgili bir kötüye gidiş yaşamamış, özellikle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agresif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davranış ölçütleri başlangıçtan daha kötü olmamıştır.</w:t>
      </w:r>
    </w:p>
    <w:p w:rsidR="00A0578B" w:rsidRDefault="00A0578B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AF1" w:rsidRPr="00E01AF1" w:rsidRDefault="00E01AF1" w:rsidP="00E01A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01A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Şüpheli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advers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reaksiyonların raporlanması</w:t>
      </w:r>
    </w:p>
    <w:p w:rsidR="00E01AF1" w:rsidRDefault="00E01AF1" w:rsidP="00E01A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Ruhsatlandırma sonrası şüpheli ilaç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reaksiyonlarının raporlanması büyük önem taşımaktadır. Raporlama yapılması, ilacın yarar/risk dengesinin sürekli olarak izlenmesine olanak sağlar. Sağlık mesleği mensuplarının herhangi bir şüpheli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reaksiyonu Türkiye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Farmakovijilans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Merkezi (TÜFAM)'ne bildirmeleri gerekmektedir. (www.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titck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.gov.tr;          e-posta: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tufam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titck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.gov.tr; tel: 0 800 314 00 08; faks: 0 312 218 35 99)</w:t>
      </w:r>
    </w:p>
    <w:p w:rsidR="00E01AF1" w:rsidRPr="00F14C5D" w:rsidRDefault="00E01AF1" w:rsidP="00E01A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745C8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4.9 Doz aş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ımı ve tedavisi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Belirtiler</w:t>
      </w:r>
    </w:p>
    <w:p w:rsidR="00DC7319" w:rsidRPr="00F14C5D" w:rsidRDefault="00B15EB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Aşırı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dozda </w:t>
      </w:r>
      <w:proofErr w:type="spellStart"/>
      <w:r w:rsidR="00D657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D657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alımını takiben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somnolans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ajitasyon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agresyon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bilin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bulanıklığı,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solunum depresyonu ve koma bildi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2D17" w:rsidRDefault="00FE2D17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Tedavi</w:t>
      </w: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Akut doz a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ımından sonra,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gastrik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lavajla veya k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usturularak mide boş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altılabilir.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5220D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spesifik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antidotu yoktur. Doz a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ımı tedavisi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semptomatik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olmalıdır ve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hemodiyalizi de kapsayabilir. Diyaliz ile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ekstraksiyon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%60 ve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%74’tü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:rsidR="00FE2D17" w:rsidRDefault="00FE2D1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FARMAKOLOJ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="008745C8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KLER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5.1 Farmakodinamik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Farmakoterap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grup: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ntiepileptik</w:t>
      </w:r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diğer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antiepileptikler</w:t>
      </w:r>
      <w:proofErr w:type="spellEnd"/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ATC kodu: N03AX14</w:t>
      </w:r>
    </w:p>
    <w:p w:rsidR="00FE2D17" w:rsidRDefault="00FE2D1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Aktif madde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bir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pirolidon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revidir (α-etil-2-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okso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-1-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pirolidin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asetamidin</w:t>
      </w:r>
      <w:proofErr w:type="spell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enantiyomeri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ve bilinen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larla kim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yas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 benzerliği yoktur.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 Mekanizması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 mekanizması hala tam olarak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açık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lanamamakta ve mevcut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 etki mekanizmasından farklı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görülmektedir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38C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vitro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vivo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deneyler,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2A00C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temel hü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erini ve normal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rotransmisyonu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tirmediğini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ermektedir.</w:t>
      </w:r>
    </w:p>
    <w:p w:rsidR="00844540" w:rsidRPr="00F14C5D" w:rsidRDefault="00C638C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 </w:t>
      </w:r>
      <w:proofErr w:type="spellStart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vitro</w:t>
      </w:r>
      <w:proofErr w:type="spellEnd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</w:t>
      </w:r>
      <w:proofErr w:type="spell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levetirasetam’ın</w:t>
      </w:r>
      <w:proofErr w:type="spellEnd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intranö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OLE_LINK1"/>
      <w:bookmarkStart w:id="4" w:name="OLE_LINK2"/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+2</w:t>
      </w:r>
      <w:bookmarkEnd w:id="3"/>
      <w:bookmarkEnd w:id="4"/>
      <w:r w:rsidR="008E2096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lerini, N tipi </w:t>
      </w:r>
      <w:proofErr w:type="spell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proofErr w:type="spellEnd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+2</w:t>
      </w:r>
      <w:r w:rsidR="008E2096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akımını kısmi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</w:t>
      </w:r>
      <w:proofErr w:type="spellStart"/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inhibe</w:t>
      </w:r>
      <w:proofErr w:type="spellEnd"/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ederek ve </w:t>
      </w:r>
      <w:proofErr w:type="spellStart"/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intranö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depolardan </w:t>
      </w:r>
      <w:proofErr w:type="spell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proofErr w:type="spellEnd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+2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salınımını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azaltarak etkilediğini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göstermiştir. Ek olarak, 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inko ve β-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karbolinler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indüklenen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GABA ve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glisinle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düzenlenen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akıml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ardaki azalmayı kısmen tersine 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evirmektedir. Ayrıca 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</w:t>
      </w:r>
      <w:proofErr w:type="spellStart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vitro</w:t>
      </w:r>
      <w:proofErr w:type="spellEnd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2A00C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kemirgenlerin beyin dokusunda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spesifik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b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lgeye bağlandığını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göstermiştir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Bu bağlanma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ölgesi vezikü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llerin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birleşmesi ve </w:t>
      </w:r>
      <w:proofErr w:type="spell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rotransmitter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ekzositozu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ilgili olduğuna inanılan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sinaptik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vezikül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proteini 2A'dır. Fare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odyojenik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 modelinde,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analogları</w:t>
      </w:r>
      <w:proofErr w:type="spellEnd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sinaptik</w:t>
      </w:r>
      <w:proofErr w:type="spellEnd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vezikü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proteini 2A'ya dereceli bağlanma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afiniteleri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koruma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güçleri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erirler. Bu bulgular,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sinaptik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vezik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proteini 2A arasındaki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in, tıbbi </w:t>
      </w:r>
      <w:r w:rsidR="00F7786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ürünün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 mekanizmasına katkıda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bulunduğunu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ermektedir.</w:t>
      </w:r>
    </w:p>
    <w:p w:rsidR="008655DF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Farmakodinamik Etkiler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çeşitli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hayvan modellerinde,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prokonv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lzan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etkisi olmaksızın,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korunmayı arttırdığı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lacın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metaboliti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aktif değildir. 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nsanlarda, hem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hem 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epilepsilerdeki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epileptiform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boşalım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fotoparoksismal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yanıt) etkinliği ile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farmakolojik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profilinin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geniş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spektrumu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doğrulanmıştır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55DF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</w:t>
      </w:r>
      <w:r w:rsidR="00DC554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etkililik ve güvenlilik</w:t>
      </w:r>
    </w:p>
    <w:p w:rsidR="00C94DF7" w:rsidRPr="00F14C5D" w:rsidRDefault="00C94DF7" w:rsidP="00C94DF7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4 yaşın üstündeki çocuk ve erişkin epilepsili hastalarda, ikincil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jeneralize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olan veya olmayan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başlangıçlı nöbetlerin ek tedavisinde: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lerde, iki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dozda,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toplam 1000 mg, 2000 mg veya 3000 mg uygulanan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etkinliği, tedavi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18 haftaya kadar olan 3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-k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r,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Sabit doz uygulandığında (12/14 hafta)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parsiyel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lı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 haftalık sıklığında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%50 veya daha fazla azalma görü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len hastaların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zdesinin 1000mg, 2000mg veya 3000mg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alan hastalarda, sırasıyla, %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27.7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%31.6, %41.3 ve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alanlarda %12.6 olduğu toplu analizde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belirlenmiştir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247A" w:rsidRPr="00F14C5D" w:rsidRDefault="0068247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F52DB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popülasyon</w:t>
      </w:r>
      <w:proofErr w:type="gramEnd"/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hastalarda (4-16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etkinliği, 198 hastanın katıldığı, 14 haftalık,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 kör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 hastalar sabit 60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iki dozda)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tedavi edilen hastaların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44.6’sında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alan hastaların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%19.6’sında,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 haftalık sıklığında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%50 veya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 fazla azalma olduğu saptanmış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tır. Devam eden uzun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li tedavide, hastaların %</w:t>
      </w:r>
      <w:proofErr w:type="gram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11.4’ü</w:t>
      </w:r>
      <w:proofErr w:type="gram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6 ay ve %7.2’si en az 1 yıl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sizliğe ulaşmış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tır.</w:t>
      </w:r>
    </w:p>
    <w:p w:rsidR="00341511" w:rsidRPr="00341511" w:rsidRDefault="00341511" w:rsidP="00341511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Yeni epilepsi tanısı konan 16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ın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üstün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deki hastalarda ikincil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jeneralize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olan veya olmayan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başlangıç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lı </w:t>
      </w:r>
      <w:r w:rsidR="003D5EDD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lerin tedavisinde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monoterapi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monoterapisinin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etkinliği; yeni veya yakın zamanda epilepsi tanısı konan 16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üstü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576 hastada,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karbamazepin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salıma (CR)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 kör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paralel grup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inferiority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-etkinlik)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 ile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 sadece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uyarılmamış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 veya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tonik-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klonik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 olan hastalar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alınmıştır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Hastalar ya 400-1200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karbamazepin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-CR veya 1000-3000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levetirasetama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randomize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edilmiş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tedavi, yanıta bağlı olarak 121 haftaya kadar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sürdürülmüştür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tedavi edilen hastaların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73.0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karbamazepin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-CR ile tedavi edilen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hastaların %72.8’inde altı ay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sizliğe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ulaşılmıştır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Tedaviler arasında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ayarlanmış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mutlak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fark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0.2’dir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(%95 GA:-7.8 8.2). Deneklerin yarısından fazlası 12 ay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siz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kalmıştır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karbamazepin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-CR alan deneklerin sırasıyla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56.6’sı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%58.5’i).</w:t>
      </w:r>
    </w:p>
    <w:p w:rsidR="003F7F8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uygulamayı yansıtan bir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ek-tedaviye yanıt veren sınırlı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sayıda hastada (69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hastanın 36'sında) e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zamanlı uygulanan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kesilmiştir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6CEC" w:rsidRPr="00F14C5D" w:rsidRDefault="00666CEC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Juvenil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miyoklonik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epilepsili 12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ın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üstün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deki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adolesan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lerde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miyoklonik</w:t>
      </w:r>
      <w:proofErr w:type="spellEnd"/>
      <w:r w:rsidR="008B7A28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lerin ek tedavisinde: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etkinliği, farklı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sendromlarda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lerle seyreden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idiyopatik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epilepsili 12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üstün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deki hastalarda yapılan 16 haftalık,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 kör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Hastaların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büyük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çoğunluğunda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juvenil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epilepsi vardı.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uygulanan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 iki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bölünen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3000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'd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tedavi edilen hastaların %</w:t>
      </w:r>
      <w:proofErr w:type="gramStart"/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58.3’ü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alan hastaların %23.3’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lerde, haftalık en az %50 azalma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görülmüştür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Devam eden uzun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tedavide, hastaların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28.6’sı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az 6 ayı ve %21.0’i en az 1 yılı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siz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geçirmiştir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C638CE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diyopatik</w:t>
      </w:r>
      <w:proofErr w:type="spellEnd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jeneralize</w:t>
      </w:r>
      <w:proofErr w:type="spellEnd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epilepsili 12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ın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üstün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deki </w:t>
      </w:r>
      <w:proofErr w:type="spellStart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adolesan</w:t>
      </w:r>
      <w:proofErr w:type="spellEnd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lerde </w:t>
      </w:r>
      <w:proofErr w:type="spellStart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primer</w:t>
      </w:r>
      <w:proofErr w:type="spellEnd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jeneralize</w:t>
      </w:r>
      <w:proofErr w:type="spellEnd"/>
      <w:r w:rsidR="00473438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tonik </w:t>
      </w:r>
      <w:proofErr w:type="spellStart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klonik</w:t>
      </w:r>
      <w:proofErr w:type="spellEnd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nöbet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lerin ek tedavisinde: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etkinliği, farklı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sendromlarda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juvenil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juvenil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absans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epilepsi,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luk 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absans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epilepsisi veya uyanırken Grand Mal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 ile seyreden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epilepsi)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tonik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klonik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(PJTK)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lerle seyreden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idiyopatik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epilepsili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sınırlı sayıdaki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yapılan 24 haftalık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 kör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bölünen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3000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bölünen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toplam 60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'd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tedavi edilen hastaların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72.2’sinde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alan hastaların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%45.2’sinde PJTK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lerinin haftalık sıklığında en az %50 azalma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görülmüştür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Devam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eden uzun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li tedavide, hastaların %</w:t>
      </w:r>
      <w:proofErr w:type="gramStart"/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47.4’ü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az 6 ayı ve %31.5’i en az 1 yılı tonik-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klonik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siz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geçirmiştir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5A10" w:rsidRPr="00F14C5D" w:rsidRDefault="00F95A1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5.2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Farmakokinetik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Genel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</w:t>
      </w:r>
    </w:p>
    <w:p w:rsidR="00844540" w:rsidRPr="00F14C5D" w:rsidRDefault="00581F0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Çözünürlüğü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permeabilitesi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yüksek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madde olan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</w:t>
      </w:r>
      <w:proofErr w:type="gram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doğrusal olup, bireysel ya da bireylerarası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kenliği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düşüktür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Tekrarlanan uygulamada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klerensinde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iklik olmaz.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Geçerli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herhangi bir cinsiyet, ırk veya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sirkadiyen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kenlik kanıtı yoktur. Sağlıklı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gönüllüler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epilepsili hastalar arasında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farmakokinetik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benzerdir.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 ve doğrusal emilimi sayesinde,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plazma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mg/kg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 ile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ifade edilen oral dozuna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öngörülebilir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nedenle plazma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izlenmesine gerek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yoktur.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tükürük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plazma konsantrasyonları arasında belirgin bir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görülmektedir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(oral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çözeltinin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alınmasından 4 saat sonra ve oral tablet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tükürük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/plazma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oranı 1 ila 1.7 arasındadır).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Emilim: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oral uygulamadan sonra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gastrointestinal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kanaldan hızla emilir ve oral mutlak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biyoyararlanımı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%100’e yakındır. Doruk plazma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konsantrasyonuna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max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 doz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uygulanmasından 1,3 saat sonra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ulaşılır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iki kez uygulamanın ardından kararlı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duruma 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ulaşılır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3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mg'lık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 dozun ve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iki kez uygulanan toplam 1000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mg'lık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dozun uygulanmasını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takiben saptanan doruk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konsantrasyonları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max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sırasıyla 31 ve 43 </w:t>
      </w:r>
      <w:r w:rsidR="00F95A10">
        <w:rPr>
          <w:rFonts w:ascii="Times New Roman" w:hAnsi="Times New Roman" w:cs="Times New Roman"/>
          <w:color w:val="000000" w:themeColor="text1"/>
          <w:sz w:val="24"/>
          <w:szCs w:val="24"/>
        </w:rPr>
        <w:t>mikrogram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ml'dir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Emilimi dozdan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bağımsızdır ve gıdadan etkilenmez.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Dağılım:</w:t>
      </w:r>
    </w:p>
    <w:p w:rsidR="00CC1E1E" w:rsidRPr="00F14C5D" w:rsidRDefault="00C638C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nsanlarda doku dağılımına ait bilgi bulunmamaktadır.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metabolitinin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plazma proteinlerine bağlanması belirgin değildir (&lt; %10). Dağılım hacmi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0,5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0,7 L/kg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dır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 toplam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hacmine yakın bir değerdir.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Biyotransformasyon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setam</w:t>
      </w:r>
      <w:proofErr w:type="spellEnd"/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insanlarda yaygın bir biç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edilmez.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Major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yolağı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(dozun %24'</w:t>
      </w:r>
      <w:r w:rsidR="009B0EC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asetamid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grubunun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enzimatik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hidrolizidir.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ucb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L057'nin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oluş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masında, karaciğer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sitokrom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F95A1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450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izoformları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rol oynamaz.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Asetamid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grubunun hidrolizi,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hücreleri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dahil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dokuda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ölçülebilir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düzeydedir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Ucb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L057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farmakolojik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olarak aktif değildir.</w:t>
      </w:r>
    </w:p>
    <w:p w:rsidR="009B0EC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Ayrıca iki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minor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tanımlanmıştır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Biri, dozun %1.6'sı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pirolidon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halkasının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hidroksilasyonu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ile;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diğeri dozun %0.9'u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pirolidon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halkasının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açılması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elde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edilmiştir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Diğer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tanımlanmamış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bileşikler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dozun sadece %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0.6'sını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oluşturmaktadır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0EC0" w:rsidRPr="00F14C5D" w:rsidRDefault="00C638C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İ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 </w:t>
      </w:r>
      <w:proofErr w:type="spellStart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vivo</w:t>
      </w:r>
      <w:proofErr w:type="spellEnd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arasında,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enantiyomerik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dönüşüm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saptanmamıştır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5A1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major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insan karaciğer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sitokrom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F95A1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450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izoformlarının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(CYP3A4, 2A6, 2C9, 2C19, 2D6, 2E1 ve 1A2),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glukuronil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transferaz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(UGT1A1 ve UGT1A6)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epoksid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hidroksilaz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aktivitelerini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inhibe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etmediği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vitro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Ayrıca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valproik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asidin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vitro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glukuronidasyonunu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etkilemez. 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insan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karaciğer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hücre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kültürlerinde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CYP1A2, SULT1E1 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veya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UGT1A1 aktivitesine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etkili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veya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etkili değildir. </w:t>
      </w:r>
      <w:proofErr w:type="spellStart"/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CYP2B6 ve CYP3A4’ü</w:t>
      </w:r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 hafif indü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ksiyonuna neden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olmuştur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vitro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veriler ve oral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kontraseptifler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digoksin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varfarinle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vivo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verileri, anlamlı ölçü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 bir enzim indü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ksiyonun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vivo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beklenmediğini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ermektedir.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nedenle 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</w:t>
      </w:r>
      <w:proofErr w:type="spellStart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CETAM’ın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diğer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ilaçlarla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 da diğer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ilaçların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beklenmemektedir.</w:t>
      </w:r>
    </w:p>
    <w:p w:rsidR="00F14C5D" w:rsidRPr="00F14C5D" w:rsidRDefault="00F14C5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Eliminasyon:</w:t>
      </w:r>
    </w:p>
    <w:p w:rsidR="00F95A10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 plazma yarılanma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7±1 saattir ve doz, uygulama yolu veya tekrarlanan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uygulamalarla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mez. Ortalama toplam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0,96 ml/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kg’dır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Verilen dozun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ortalama %95’i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vücuttan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idrarla atılır (dozun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%93’ü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 saat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atılır). Dozun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sadece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0.3’</w:t>
      </w:r>
      <w:r w:rsidR="009B0EC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dışkı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atılır.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idrarda </w:t>
      </w:r>
      <w:proofErr w:type="gramStart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kümülatif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atımı, ilk 48 saat boyunca sırasıyla,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dozun % 66 ve % 24’</w:t>
      </w:r>
      <w:r w:rsidR="009B0EC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ünü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ucb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L057’nin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renal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sırasıyla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0.6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4.2 ml/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kg’dır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Bu durum,</w:t>
      </w:r>
      <w:r w:rsidR="008B7A2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glomerü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filtrasyon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sonrasında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tübü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reabsorpsiyon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ile;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metabolitinin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glomerü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filtrasyona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 olarak aktif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tübü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sekresyon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atıldığını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ermektedir.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eliminasyonu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ilişkilidir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1E1E" w:rsidRPr="00F14C5D" w:rsidRDefault="00CC1E1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Hastalardaki karakteristik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</w:t>
      </w:r>
    </w:p>
    <w:p w:rsidR="00844540" w:rsidRPr="00F14C5D" w:rsidRDefault="00581F0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/Karaciğer yetmezliği:</w:t>
      </w:r>
    </w:p>
    <w:p w:rsidR="00844540" w:rsidRPr="00E26EA1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Hem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hem onun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ilişkilidir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nedenle orta ve ağır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yetmezliğindeki hastalarda,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baz</w:t>
      </w:r>
      <w:proofErr w:type="gram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alınarak 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</w:t>
      </w:r>
      <w:proofErr w:type="spellStart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CETAM’ın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dozunun ayarlanması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961BA8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bkz. Bölüm </w:t>
      </w:r>
      <w:proofErr w:type="gramStart"/>
      <w:r w:rsidR="00961BA8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4.2</w:t>
      </w:r>
      <w:proofErr w:type="gram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Pozoloji</w:t>
      </w:r>
      <w:proofErr w:type="spell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Uygulama Şekli </w:t>
      </w:r>
      <w:r w:rsidRPr="00E26E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E26E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dönem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yetmezliğindeki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hastalarda yarılanma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diyaliz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arasındaki ve diyalizdeki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dönemlerde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sırasıyla,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ve 3.1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saat’dir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Tipik 4 saatlik bir</w:t>
      </w:r>
      <w:r w:rsidR="008B7A2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diyalizde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fraksiyonel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uzaklaştırılması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%51'dir.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Hafif ve orta derecede karaciğer yetmezliğindeki hastalarda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klerensinde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iklik yoktur. Ağır karaciğe</w:t>
      </w:r>
      <w:r w:rsidR="005E40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 yetmezliğindeki hastalarda, eş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zamanlı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yetmezliğine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bağlı olarak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klerensinde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%50’den fazla bir azalma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bkz. Bölüm </w:t>
      </w:r>
      <w:proofErr w:type="gram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4.2</w:t>
      </w:r>
      <w:proofErr w:type="gram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Pozoloji</w:t>
      </w:r>
      <w:proofErr w:type="spell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Uygulama Şekli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60C8B" w:rsidRPr="00F14C5D" w:rsidRDefault="00060C8B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Pediyatrik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popülasyon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Çocuklar (4-12 yaş)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6-12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 epilepsili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lara 20 mg/kg tek oral doz verilmesinden sonra,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plazma yarılanma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saattir. 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lacın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görünen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ayarlanan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epilepsili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%30 daha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yüksektir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4-12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 epilepsili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lara 20 ila 60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tekrarlanan oral dozda verilmesini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takiben,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gastrointestinal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sistemden hızla emilir. Doruk plazma konsantrasyonu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dozdan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0.5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ila 1.0 saat sonra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gözlemlenir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Eğri altındaki alan ve doruk plazma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konsantrasyonları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dozla orantılı ve doğrusal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artışlar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gözlenmiş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tir. Eliminasyon yarı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saattir.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kg’dır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Geriyatrik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popülasyon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lılarda yarılanma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popülasyon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fonksiyonlarının azalmasına bağlı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%40</w:t>
      </w:r>
      <w:r w:rsidR="00961BA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(10-11 saat) artmaktadır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bkz. Bölüm </w:t>
      </w:r>
      <w:proofErr w:type="gram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4.2</w:t>
      </w:r>
      <w:proofErr w:type="gram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Pozoloji</w:t>
      </w:r>
      <w:proofErr w:type="spell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Uygulama Şekli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61BA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4E8D" w:rsidRPr="00F14C5D" w:rsidRDefault="001F4E8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5.3 Klinik </w:t>
      </w:r>
      <w:r w:rsidR="00A264E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önce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 </w:t>
      </w:r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güvenlilik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verileri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Geleneksel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güvenlilik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farmakolojisi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genotoksisite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karsinojenisite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ları temelindeki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önce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veriler, insana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özel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tehlike ortaya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koymamıştır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görülmeyen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ancak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daha az oranda farelerde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istenmeyen etkiler, klinikte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geçerlilik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olasılığı olan ve insanlardakine yakın </w:t>
      </w:r>
      <w:r w:rsidR="00AA0F7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ilaca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maruz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bırakma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lerinde ortaya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çıkan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karaciğer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iklikleri, ağırlık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="005C2E5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ı, </w:t>
      </w:r>
      <w:proofErr w:type="spellStart"/>
      <w:r w:rsidR="005C2E5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sentrilobü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hipertrofi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yağlı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infiltrasyon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plazmada karaciğer enzimlerinin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 gibi uyum yanıtını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eren etkilerdir.</w:t>
      </w:r>
    </w:p>
    <w:p w:rsidR="00E6167E" w:rsidRPr="00F14C5D" w:rsidRDefault="00E6167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 yapılan çalışmalarda, günde 1800 mg/kg (mg/m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 önerilen maksimum dozun 6 katı) dozlarında anne/baba ve F1 yavrusunda erkek veya dişi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fertilitesi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 da üreme performansına herhangi bir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 gözlenmemiştir.</w:t>
      </w:r>
    </w:p>
    <w:p w:rsidR="00F33DA9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400, 1200 ve 3600mg/kg/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dozlarında 2 embriyo-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(EFD)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yapılmıştır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3600mg/kg/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’de 2 EFD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sından sadece birinde 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ağırlıkta hafif bir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düşm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ve bununla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iskelet yapı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kenlikleri/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minor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anomalilerde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meydana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73438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Embriyomortalite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üzerine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etkisi yoktur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malformasyon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sıklığında bir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93CF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olmamıştır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NOAEL (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Etkinin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Gözlenmediği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 hamile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dişi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F7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(mg/m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maksimum dozun 12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katı)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fetuslar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’dü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4540" w:rsidRPr="00F14C5D" w:rsidRDefault="00A264E0" w:rsidP="004734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200,600,800,1200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1800mg/kg/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 dozları kapsayan 4 embriyo-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tal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yapılmıştır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1800mg/kg/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 seviyesinde, belirgin bir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maternal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toksisite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ağırlıkta bir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düşüşü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indüklemiştir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da,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kardiyovasküler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/iskelet yapı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anomalileri</w:t>
      </w:r>
      <w:proofErr w:type="gram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olan 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fetusların</w:t>
      </w:r>
      <w:proofErr w:type="spellEnd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lme sıklığında bir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ilişkilendirilir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NOAEL,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dişiler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&lt;200mg/kg/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fetuslar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’d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 (mg/ 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maksimum doza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70, 350 ve 1800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dozları ile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peri- ve post-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natal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gelişim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yapılmıştır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NOAEL, F0 diş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ileri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sütten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kesilinceye dek F1 yavrusunun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aması,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büyümesi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gelişmesi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≥ 1800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’dü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 (mg/m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maksimum dozun 6 katı).</w:t>
      </w:r>
    </w:p>
    <w:p w:rsidR="00844540" w:rsidRPr="00F14C5D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peklerdeki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neonatal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juvenil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hayvan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larında, 1800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’e kadar</w:t>
      </w:r>
      <w:r w:rsidR="008B7A2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olan dozlarda (mg/m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önerilen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maksimum dozun 6-17 katına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tekabül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eden)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hayvanların standart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ol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gu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 son noktalarının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hiçbirinde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herhangi bir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etki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gözlenmemiştir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bookmarkEnd w:id="2"/>
    <w:p w:rsidR="007665CF" w:rsidRPr="00F14C5D" w:rsidRDefault="007665C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FARMASÖ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KLER</w:t>
      </w: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6.1 Yardımcı maddelerin listesi</w:t>
      </w:r>
    </w:p>
    <w:p w:rsidR="002A2432" w:rsidRDefault="002A2432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A2432" w:rsidRPr="002A2432" w:rsidRDefault="002A2432" w:rsidP="00F52DB8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2A243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Tablet çekirdeği: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Mısır Nişastası 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Prejelatinize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Nişasta (</w:t>
      </w: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Starch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1500)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Povidon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K30 (PVP K30)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Talk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Kolloidal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Silikon Dioksit (</w:t>
      </w: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Aerosil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200)</w:t>
      </w:r>
    </w:p>
    <w:p w:rsidR="0076519C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Magnezyum </w:t>
      </w: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Stearat</w:t>
      </w:r>
      <w:proofErr w:type="spellEnd"/>
    </w:p>
    <w:p w:rsidR="000C7985" w:rsidRDefault="000C7985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844540" w:rsidRPr="002A2432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24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Film kaplama </w:t>
      </w:r>
      <w:r w:rsidR="00F33DA9" w:rsidRPr="002A24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maddesi</w:t>
      </w:r>
      <w:r w:rsidRPr="002A24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33DA9" w:rsidRPr="002A24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="00060D96" w:rsidRPr="002A24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Opadry</w:t>
      </w:r>
      <w:proofErr w:type="spellEnd"/>
      <w:r w:rsidR="00060D96" w:rsidRPr="002A24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II Turuncu 85F23452</w:t>
      </w:r>
      <w:r w:rsidR="00F33DA9" w:rsidRPr="002A24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):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>Polivinil</w:t>
      </w:r>
      <w:proofErr w:type="spellEnd"/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Alkol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Talk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>Polietilen Glikol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>Titanyum Dioksit</w:t>
      </w:r>
    </w:p>
    <w:p w:rsidR="00060D96" w:rsidRPr="00060D96" w:rsidRDefault="00060D96" w:rsidP="00060D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FD&amp;C </w:t>
      </w:r>
      <w:proofErr w:type="spellStart"/>
      <w:r w:rsidRPr="00060D96">
        <w:rPr>
          <w:rFonts w:ascii="Times New Roman" w:hAnsi="Times New Roman" w:cs="Times New Roman"/>
          <w:color w:val="000000" w:themeColor="text1"/>
          <w:sz w:val="24"/>
          <w:szCs w:val="24"/>
        </w:rPr>
        <w:t>Yellow</w:t>
      </w:r>
      <w:proofErr w:type="spellEnd"/>
      <w:r w:rsidRPr="00060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#6/</w:t>
      </w:r>
      <w:proofErr w:type="spellStart"/>
      <w:r w:rsidRPr="00060D96">
        <w:rPr>
          <w:rFonts w:ascii="Times New Roman" w:hAnsi="Times New Roman" w:cs="Times New Roman"/>
          <w:color w:val="000000" w:themeColor="text1"/>
          <w:sz w:val="24"/>
          <w:szCs w:val="24"/>
        </w:rPr>
        <w:t>Sunset</w:t>
      </w:r>
      <w:proofErr w:type="spellEnd"/>
      <w:r w:rsidRPr="00060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0D96">
        <w:rPr>
          <w:rFonts w:ascii="Times New Roman" w:hAnsi="Times New Roman" w:cs="Times New Roman"/>
          <w:color w:val="000000" w:themeColor="text1"/>
          <w:sz w:val="24"/>
          <w:szCs w:val="24"/>
        </w:rPr>
        <w:t>Yellow</w:t>
      </w:r>
      <w:proofErr w:type="spellEnd"/>
      <w:r w:rsidRPr="00060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FCF AL Lak</w:t>
      </w:r>
    </w:p>
    <w:p w:rsidR="00060D96" w:rsidRDefault="00060D96" w:rsidP="00060D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D96">
        <w:rPr>
          <w:rFonts w:ascii="Times New Roman" w:hAnsi="Times New Roman" w:cs="Times New Roman"/>
          <w:color w:val="000000" w:themeColor="text1"/>
          <w:sz w:val="24"/>
          <w:szCs w:val="24"/>
        </w:rPr>
        <w:t>Kırmızı Demir Oksit</w:t>
      </w:r>
    </w:p>
    <w:p w:rsidR="002A2432" w:rsidRDefault="002A2432" w:rsidP="00060D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060D9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6.2 </w:t>
      </w:r>
      <w:r w:rsidR="00A264E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Geçimsizlikler</w:t>
      </w:r>
    </w:p>
    <w:p w:rsidR="008B7A28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Bilinen herhangi bir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geçimsizliği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bulunmamaktadır.</w:t>
      </w:r>
    </w:p>
    <w:p w:rsidR="002A2432" w:rsidRPr="00F14C5D" w:rsidRDefault="002A2432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6.3 Raf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ömrü</w:t>
      </w:r>
    </w:p>
    <w:p w:rsidR="00380B81" w:rsidRDefault="007851A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80B8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4 ay</w:t>
      </w:r>
    </w:p>
    <w:p w:rsidR="002A2432" w:rsidRPr="00F14C5D" w:rsidRDefault="002A2432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6.4 Saklamaya y</w:t>
      </w:r>
      <w:r w:rsidR="00380B8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nelik </w:t>
      </w:r>
      <w:r w:rsidR="00380B8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 uyarılar</w:t>
      </w:r>
    </w:p>
    <w:p w:rsidR="00380B81" w:rsidRDefault="00380B8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25°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C'nin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</w:t>
      </w:r>
      <w:r w:rsidR="00AD2AB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oda sıcaklığında saklayınız.</w:t>
      </w:r>
    </w:p>
    <w:p w:rsidR="002A2432" w:rsidRPr="00F14C5D" w:rsidRDefault="002A2432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6.5 Ambalajın niteliği ve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iceriği</w:t>
      </w:r>
      <w:proofErr w:type="spellEnd"/>
    </w:p>
    <w:p w:rsidR="0076519C" w:rsidRPr="00F14C5D" w:rsidRDefault="0076519C" w:rsidP="007651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L-CETAM </w:t>
      </w:r>
      <w:r w:rsidR="00060D96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2D1F8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 Film Tablet ürünümüzün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ambalaj malzemesi Şeffaf PVC Folyo/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Aluminyum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Folyo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blisterdir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Blisterler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karton kutular içerisinde paketlenir. </w:t>
      </w:r>
    </w:p>
    <w:p w:rsidR="0076519C" w:rsidRDefault="0076519C" w:rsidP="007651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50, 100 ve 200 Film Tabletlik ambalajlar.</w:t>
      </w:r>
    </w:p>
    <w:p w:rsidR="002A2432" w:rsidRPr="00F14C5D" w:rsidRDefault="002A2432" w:rsidP="007651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6.6 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Beşeri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tıbbi </w:t>
      </w:r>
      <w:r w:rsidR="00F7786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ürün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den arta kalan maddelerin imhası ve diğer </w:t>
      </w:r>
      <w:r w:rsidR="00A264E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önlemler</w:t>
      </w:r>
    </w:p>
    <w:p w:rsidR="00844540" w:rsidRPr="00F14C5D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Kullanılmamış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786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ürün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 ya da atık materyaller “Tıbbi Atıkların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Yönetmeliği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” ve</w:t>
      </w:r>
      <w:r w:rsidR="008B7A2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“Ambalaj ve Ambalaj Atıkları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Yönetmeliği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”’ne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imha edilmelidir.</w:t>
      </w:r>
    </w:p>
    <w:p w:rsidR="00CC1E1E" w:rsidRPr="00F14C5D" w:rsidRDefault="00CC1E1E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RUHSAT SAH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Deva Holding A.Ş. 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Halkalı Merkez Mah. Basın Ekspres Cad. 34303 No:1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Küçükçekmece/İSTANBUL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Tel : 0212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692 92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92</w:t>
      </w:r>
      <w:proofErr w:type="spellEnd"/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Faks: 0212 697 00 24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RUHSAT NUMARASI</w:t>
      </w:r>
    </w:p>
    <w:p w:rsidR="008B7A28" w:rsidRDefault="00060D96" w:rsidP="00F52DB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244/42</w:t>
      </w:r>
    </w:p>
    <w:p w:rsidR="00F33DA9" w:rsidRDefault="00F33DA9" w:rsidP="00F52DB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C7985" w:rsidRPr="00F14C5D" w:rsidRDefault="000C7985" w:rsidP="00F52DB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9. 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LK RUHSAT TAR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/RUHSAT YEN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LEME TAR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Ruhsat tarihi: </w:t>
      </w:r>
      <w:r w:rsidR="00060D96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652EC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.08.2012</w:t>
      </w:r>
    </w:p>
    <w:p w:rsidR="00844540" w:rsidRPr="00F14C5D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Ruhsat yenileme tarihi: </w:t>
      </w:r>
    </w:p>
    <w:p w:rsidR="008B7A28" w:rsidRPr="00F14C5D" w:rsidRDefault="008B7A28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 KÜ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B'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 YEN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LENME TAR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</w:p>
    <w:sectPr w:rsidR="00844540" w:rsidRPr="00F14C5D" w:rsidSect="006A1C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A4A" w:rsidRDefault="00F06A4A" w:rsidP="00F52DB8">
      <w:pPr>
        <w:spacing w:after="0" w:line="240" w:lineRule="auto"/>
      </w:pPr>
      <w:r>
        <w:separator/>
      </w:r>
    </w:p>
  </w:endnote>
  <w:endnote w:type="continuationSeparator" w:id="0">
    <w:p w:rsidR="00F06A4A" w:rsidRDefault="00F06A4A" w:rsidP="00F5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6939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8342E3" w:rsidRDefault="000103B2">
            <w:pPr>
              <w:pStyle w:val="Altbilgi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342E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46F5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342E3"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342E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46F5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342E3" w:rsidRDefault="008342E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A4A" w:rsidRDefault="00F06A4A" w:rsidP="00F52DB8">
      <w:pPr>
        <w:spacing w:after="0" w:line="240" w:lineRule="auto"/>
      </w:pPr>
      <w:r>
        <w:separator/>
      </w:r>
    </w:p>
  </w:footnote>
  <w:footnote w:type="continuationSeparator" w:id="0">
    <w:p w:rsidR="00F06A4A" w:rsidRDefault="00F06A4A" w:rsidP="00F5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F4238"/>
    <w:multiLevelType w:val="hybridMultilevel"/>
    <w:tmpl w:val="B4046E8E"/>
    <w:lvl w:ilvl="0" w:tplc="40E290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540"/>
    <w:rsid w:val="000074B0"/>
    <w:rsid w:val="00010099"/>
    <w:rsid w:val="000103B2"/>
    <w:rsid w:val="0001057F"/>
    <w:rsid w:val="00012A55"/>
    <w:rsid w:val="000162B7"/>
    <w:rsid w:val="00017280"/>
    <w:rsid w:val="000203A5"/>
    <w:rsid w:val="00021EC1"/>
    <w:rsid w:val="00023634"/>
    <w:rsid w:val="00032938"/>
    <w:rsid w:val="000377C5"/>
    <w:rsid w:val="0003793E"/>
    <w:rsid w:val="00052738"/>
    <w:rsid w:val="00060C8B"/>
    <w:rsid w:val="00060D96"/>
    <w:rsid w:val="00061542"/>
    <w:rsid w:val="00072A9D"/>
    <w:rsid w:val="00074E39"/>
    <w:rsid w:val="00076DF1"/>
    <w:rsid w:val="00081310"/>
    <w:rsid w:val="00081D8D"/>
    <w:rsid w:val="00097E95"/>
    <w:rsid w:val="000A1EAC"/>
    <w:rsid w:val="000C7985"/>
    <w:rsid w:val="000E4446"/>
    <w:rsid w:val="000F7E46"/>
    <w:rsid w:val="001010CC"/>
    <w:rsid w:val="00107BBD"/>
    <w:rsid w:val="0011366E"/>
    <w:rsid w:val="0011420C"/>
    <w:rsid w:val="00120C5E"/>
    <w:rsid w:val="001251B0"/>
    <w:rsid w:val="001543E0"/>
    <w:rsid w:val="00162C2C"/>
    <w:rsid w:val="001663DE"/>
    <w:rsid w:val="001736F1"/>
    <w:rsid w:val="00182E2B"/>
    <w:rsid w:val="00191207"/>
    <w:rsid w:val="001A24B6"/>
    <w:rsid w:val="001B24C6"/>
    <w:rsid w:val="001C46F5"/>
    <w:rsid w:val="001C6D85"/>
    <w:rsid w:val="001D018B"/>
    <w:rsid w:val="001D5086"/>
    <w:rsid w:val="001E0BC8"/>
    <w:rsid w:val="001E6B6E"/>
    <w:rsid w:val="001F4E8D"/>
    <w:rsid w:val="001F7628"/>
    <w:rsid w:val="00215834"/>
    <w:rsid w:val="00224E08"/>
    <w:rsid w:val="00226DBB"/>
    <w:rsid w:val="00230E0D"/>
    <w:rsid w:val="00241922"/>
    <w:rsid w:val="0024452D"/>
    <w:rsid w:val="0026501F"/>
    <w:rsid w:val="00265950"/>
    <w:rsid w:val="00271B7B"/>
    <w:rsid w:val="002853AA"/>
    <w:rsid w:val="00292862"/>
    <w:rsid w:val="00293C9B"/>
    <w:rsid w:val="002A00CA"/>
    <w:rsid w:val="002A2432"/>
    <w:rsid w:val="002A3D01"/>
    <w:rsid w:val="002A73F3"/>
    <w:rsid w:val="002B0CB4"/>
    <w:rsid w:val="002B7AC0"/>
    <w:rsid w:val="002D1F80"/>
    <w:rsid w:val="002E2242"/>
    <w:rsid w:val="002E25B1"/>
    <w:rsid w:val="002E40F4"/>
    <w:rsid w:val="00300C78"/>
    <w:rsid w:val="00303BAC"/>
    <w:rsid w:val="00321521"/>
    <w:rsid w:val="0032410E"/>
    <w:rsid w:val="003309D5"/>
    <w:rsid w:val="003341ED"/>
    <w:rsid w:val="00335B2F"/>
    <w:rsid w:val="00341511"/>
    <w:rsid w:val="00342996"/>
    <w:rsid w:val="00342C86"/>
    <w:rsid w:val="003454D7"/>
    <w:rsid w:val="00360CCF"/>
    <w:rsid w:val="00373CA3"/>
    <w:rsid w:val="00380B81"/>
    <w:rsid w:val="00380EFA"/>
    <w:rsid w:val="0038354D"/>
    <w:rsid w:val="00395BA6"/>
    <w:rsid w:val="003A35B0"/>
    <w:rsid w:val="003A534C"/>
    <w:rsid w:val="003B3B79"/>
    <w:rsid w:val="003C693F"/>
    <w:rsid w:val="003D34DA"/>
    <w:rsid w:val="003D5EDD"/>
    <w:rsid w:val="003E3530"/>
    <w:rsid w:val="003E6495"/>
    <w:rsid w:val="003F1CE6"/>
    <w:rsid w:val="003F1ED3"/>
    <w:rsid w:val="003F6E0A"/>
    <w:rsid w:val="003F7750"/>
    <w:rsid w:val="003F7F80"/>
    <w:rsid w:val="00403F01"/>
    <w:rsid w:val="00404216"/>
    <w:rsid w:val="004137E8"/>
    <w:rsid w:val="00426EB7"/>
    <w:rsid w:val="00453C3B"/>
    <w:rsid w:val="004555E2"/>
    <w:rsid w:val="00460E47"/>
    <w:rsid w:val="0046710F"/>
    <w:rsid w:val="00473438"/>
    <w:rsid w:val="0047553D"/>
    <w:rsid w:val="00475988"/>
    <w:rsid w:val="00481359"/>
    <w:rsid w:val="004823E9"/>
    <w:rsid w:val="004836F8"/>
    <w:rsid w:val="004978A4"/>
    <w:rsid w:val="004A0ACB"/>
    <w:rsid w:val="004A2C8E"/>
    <w:rsid w:val="004A6CE9"/>
    <w:rsid w:val="004B130B"/>
    <w:rsid w:val="004C5CB4"/>
    <w:rsid w:val="004C65D4"/>
    <w:rsid w:val="004C799B"/>
    <w:rsid w:val="004D0215"/>
    <w:rsid w:val="004D2DEF"/>
    <w:rsid w:val="004D48A4"/>
    <w:rsid w:val="004E3A8A"/>
    <w:rsid w:val="004E42EB"/>
    <w:rsid w:val="004E43CA"/>
    <w:rsid w:val="004E7529"/>
    <w:rsid w:val="004F0B54"/>
    <w:rsid w:val="0050047C"/>
    <w:rsid w:val="00506857"/>
    <w:rsid w:val="0051032A"/>
    <w:rsid w:val="005220DF"/>
    <w:rsid w:val="00523FCB"/>
    <w:rsid w:val="005243CC"/>
    <w:rsid w:val="00527A5F"/>
    <w:rsid w:val="00530A54"/>
    <w:rsid w:val="005409E6"/>
    <w:rsid w:val="00540E01"/>
    <w:rsid w:val="005542D3"/>
    <w:rsid w:val="005561ED"/>
    <w:rsid w:val="005738E8"/>
    <w:rsid w:val="00581F01"/>
    <w:rsid w:val="00583F74"/>
    <w:rsid w:val="0059111C"/>
    <w:rsid w:val="005A4D8D"/>
    <w:rsid w:val="005B7325"/>
    <w:rsid w:val="005C1A15"/>
    <w:rsid w:val="005C2E52"/>
    <w:rsid w:val="005C7FFD"/>
    <w:rsid w:val="005D4ACD"/>
    <w:rsid w:val="005E406D"/>
    <w:rsid w:val="005E486A"/>
    <w:rsid w:val="005E4B07"/>
    <w:rsid w:val="005F0815"/>
    <w:rsid w:val="005F4E45"/>
    <w:rsid w:val="005F5E7B"/>
    <w:rsid w:val="005F7231"/>
    <w:rsid w:val="006007AE"/>
    <w:rsid w:val="00603F33"/>
    <w:rsid w:val="00615D1D"/>
    <w:rsid w:val="00623700"/>
    <w:rsid w:val="006243BB"/>
    <w:rsid w:val="00627D07"/>
    <w:rsid w:val="00632C2C"/>
    <w:rsid w:val="00646B15"/>
    <w:rsid w:val="006500B8"/>
    <w:rsid w:val="00650CD2"/>
    <w:rsid w:val="00650FCE"/>
    <w:rsid w:val="00651EC2"/>
    <w:rsid w:val="00652EC1"/>
    <w:rsid w:val="00657A61"/>
    <w:rsid w:val="00657EA4"/>
    <w:rsid w:val="00666436"/>
    <w:rsid w:val="00666CEC"/>
    <w:rsid w:val="00677F51"/>
    <w:rsid w:val="00680396"/>
    <w:rsid w:val="00680847"/>
    <w:rsid w:val="00680879"/>
    <w:rsid w:val="0068247A"/>
    <w:rsid w:val="00683AC9"/>
    <w:rsid w:val="00683DC5"/>
    <w:rsid w:val="00690360"/>
    <w:rsid w:val="00692F11"/>
    <w:rsid w:val="00695BCC"/>
    <w:rsid w:val="00696837"/>
    <w:rsid w:val="006A1C01"/>
    <w:rsid w:val="006A2892"/>
    <w:rsid w:val="006A62AF"/>
    <w:rsid w:val="006B18FA"/>
    <w:rsid w:val="006B2BE8"/>
    <w:rsid w:val="006C3490"/>
    <w:rsid w:val="006C4E38"/>
    <w:rsid w:val="006C5C82"/>
    <w:rsid w:val="006E2D00"/>
    <w:rsid w:val="006E6586"/>
    <w:rsid w:val="006F08F6"/>
    <w:rsid w:val="00706DFE"/>
    <w:rsid w:val="00707FDF"/>
    <w:rsid w:val="0071059F"/>
    <w:rsid w:val="00711DC9"/>
    <w:rsid w:val="0071349F"/>
    <w:rsid w:val="00727AF2"/>
    <w:rsid w:val="00731F8C"/>
    <w:rsid w:val="0076519C"/>
    <w:rsid w:val="007665CF"/>
    <w:rsid w:val="00766988"/>
    <w:rsid w:val="007672B4"/>
    <w:rsid w:val="007673A8"/>
    <w:rsid w:val="00771A5A"/>
    <w:rsid w:val="007771BC"/>
    <w:rsid w:val="00784444"/>
    <w:rsid w:val="007851A7"/>
    <w:rsid w:val="00792256"/>
    <w:rsid w:val="007948FA"/>
    <w:rsid w:val="0079541E"/>
    <w:rsid w:val="007A1F68"/>
    <w:rsid w:val="007B1B21"/>
    <w:rsid w:val="007B528D"/>
    <w:rsid w:val="007C6102"/>
    <w:rsid w:val="007D7B6D"/>
    <w:rsid w:val="007F4487"/>
    <w:rsid w:val="007F56FD"/>
    <w:rsid w:val="007F6D8C"/>
    <w:rsid w:val="007F723A"/>
    <w:rsid w:val="00801B96"/>
    <w:rsid w:val="00803CA2"/>
    <w:rsid w:val="00821F40"/>
    <w:rsid w:val="00823E1B"/>
    <w:rsid w:val="008342E3"/>
    <w:rsid w:val="00842EEE"/>
    <w:rsid w:val="00844540"/>
    <w:rsid w:val="00850388"/>
    <w:rsid w:val="00854276"/>
    <w:rsid w:val="0085476D"/>
    <w:rsid w:val="0085769C"/>
    <w:rsid w:val="008655DF"/>
    <w:rsid w:val="008707F8"/>
    <w:rsid w:val="0087242C"/>
    <w:rsid w:val="008745C8"/>
    <w:rsid w:val="00877A7B"/>
    <w:rsid w:val="008868EC"/>
    <w:rsid w:val="00887AE9"/>
    <w:rsid w:val="00893AB4"/>
    <w:rsid w:val="008A0BA1"/>
    <w:rsid w:val="008A39DA"/>
    <w:rsid w:val="008A68A2"/>
    <w:rsid w:val="008B1629"/>
    <w:rsid w:val="008B626A"/>
    <w:rsid w:val="008B7A28"/>
    <w:rsid w:val="008C1B2C"/>
    <w:rsid w:val="008D12D3"/>
    <w:rsid w:val="008E2096"/>
    <w:rsid w:val="008E252E"/>
    <w:rsid w:val="00903386"/>
    <w:rsid w:val="00903B1E"/>
    <w:rsid w:val="00924384"/>
    <w:rsid w:val="00925DB0"/>
    <w:rsid w:val="00927A48"/>
    <w:rsid w:val="00941D20"/>
    <w:rsid w:val="0094206C"/>
    <w:rsid w:val="00954437"/>
    <w:rsid w:val="00961BA8"/>
    <w:rsid w:val="00962228"/>
    <w:rsid w:val="00976B6D"/>
    <w:rsid w:val="0098263C"/>
    <w:rsid w:val="009964DB"/>
    <w:rsid w:val="009A1635"/>
    <w:rsid w:val="009B0937"/>
    <w:rsid w:val="009B0EC0"/>
    <w:rsid w:val="009B1F59"/>
    <w:rsid w:val="009C11B3"/>
    <w:rsid w:val="009C6564"/>
    <w:rsid w:val="009D5BE2"/>
    <w:rsid w:val="009E4318"/>
    <w:rsid w:val="009F16F6"/>
    <w:rsid w:val="00A0578B"/>
    <w:rsid w:val="00A21290"/>
    <w:rsid w:val="00A264E0"/>
    <w:rsid w:val="00A302F0"/>
    <w:rsid w:val="00A365C8"/>
    <w:rsid w:val="00A604BD"/>
    <w:rsid w:val="00A64960"/>
    <w:rsid w:val="00A64BC3"/>
    <w:rsid w:val="00A66240"/>
    <w:rsid w:val="00A67CD0"/>
    <w:rsid w:val="00A7315C"/>
    <w:rsid w:val="00A907EF"/>
    <w:rsid w:val="00A90B29"/>
    <w:rsid w:val="00A92459"/>
    <w:rsid w:val="00A9246C"/>
    <w:rsid w:val="00AA0F75"/>
    <w:rsid w:val="00AA6CAB"/>
    <w:rsid w:val="00AB061E"/>
    <w:rsid w:val="00AB5A2E"/>
    <w:rsid w:val="00AC7526"/>
    <w:rsid w:val="00AD17A1"/>
    <w:rsid w:val="00AD2ABA"/>
    <w:rsid w:val="00AE047A"/>
    <w:rsid w:val="00AE4F71"/>
    <w:rsid w:val="00B00B0B"/>
    <w:rsid w:val="00B06132"/>
    <w:rsid w:val="00B15EBD"/>
    <w:rsid w:val="00B234F3"/>
    <w:rsid w:val="00B4032C"/>
    <w:rsid w:val="00B45F45"/>
    <w:rsid w:val="00B52752"/>
    <w:rsid w:val="00B5573F"/>
    <w:rsid w:val="00B6017D"/>
    <w:rsid w:val="00B61E7B"/>
    <w:rsid w:val="00B64DA1"/>
    <w:rsid w:val="00B850B9"/>
    <w:rsid w:val="00B8659C"/>
    <w:rsid w:val="00B913D0"/>
    <w:rsid w:val="00B96FC9"/>
    <w:rsid w:val="00BA3FA8"/>
    <w:rsid w:val="00BB301A"/>
    <w:rsid w:val="00BC0C29"/>
    <w:rsid w:val="00BD761B"/>
    <w:rsid w:val="00BE1F9F"/>
    <w:rsid w:val="00C02B40"/>
    <w:rsid w:val="00C040F5"/>
    <w:rsid w:val="00C04C27"/>
    <w:rsid w:val="00C35147"/>
    <w:rsid w:val="00C360AD"/>
    <w:rsid w:val="00C4611E"/>
    <w:rsid w:val="00C5294F"/>
    <w:rsid w:val="00C6280A"/>
    <w:rsid w:val="00C638CE"/>
    <w:rsid w:val="00C6575C"/>
    <w:rsid w:val="00C7692C"/>
    <w:rsid w:val="00C94DF7"/>
    <w:rsid w:val="00CB6963"/>
    <w:rsid w:val="00CB7535"/>
    <w:rsid w:val="00CC1E1E"/>
    <w:rsid w:val="00CC7DEE"/>
    <w:rsid w:val="00CE30C8"/>
    <w:rsid w:val="00CE3B09"/>
    <w:rsid w:val="00CE6CB4"/>
    <w:rsid w:val="00D044C8"/>
    <w:rsid w:val="00D06568"/>
    <w:rsid w:val="00D10636"/>
    <w:rsid w:val="00D15C3B"/>
    <w:rsid w:val="00D260E4"/>
    <w:rsid w:val="00D305BA"/>
    <w:rsid w:val="00D37B9E"/>
    <w:rsid w:val="00D4443E"/>
    <w:rsid w:val="00D518B3"/>
    <w:rsid w:val="00D52C62"/>
    <w:rsid w:val="00D53E14"/>
    <w:rsid w:val="00D633A5"/>
    <w:rsid w:val="00D6578D"/>
    <w:rsid w:val="00D67CE2"/>
    <w:rsid w:val="00D77531"/>
    <w:rsid w:val="00D93CF3"/>
    <w:rsid w:val="00D9757D"/>
    <w:rsid w:val="00DA0155"/>
    <w:rsid w:val="00DA4683"/>
    <w:rsid w:val="00DB61CC"/>
    <w:rsid w:val="00DC554C"/>
    <w:rsid w:val="00DC7319"/>
    <w:rsid w:val="00DE61FC"/>
    <w:rsid w:val="00DF0534"/>
    <w:rsid w:val="00DF3526"/>
    <w:rsid w:val="00E01AF1"/>
    <w:rsid w:val="00E01CAA"/>
    <w:rsid w:val="00E101FF"/>
    <w:rsid w:val="00E1515D"/>
    <w:rsid w:val="00E26EA1"/>
    <w:rsid w:val="00E30BBF"/>
    <w:rsid w:val="00E30C81"/>
    <w:rsid w:val="00E34F89"/>
    <w:rsid w:val="00E567C0"/>
    <w:rsid w:val="00E61019"/>
    <w:rsid w:val="00E6167E"/>
    <w:rsid w:val="00E629AA"/>
    <w:rsid w:val="00E65BA3"/>
    <w:rsid w:val="00E70BCD"/>
    <w:rsid w:val="00E71D68"/>
    <w:rsid w:val="00E86A3F"/>
    <w:rsid w:val="00E9603C"/>
    <w:rsid w:val="00EB3017"/>
    <w:rsid w:val="00EC29E8"/>
    <w:rsid w:val="00EC6279"/>
    <w:rsid w:val="00EC6DB1"/>
    <w:rsid w:val="00EE6795"/>
    <w:rsid w:val="00F06A4A"/>
    <w:rsid w:val="00F11238"/>
    <w:rsid w:val="00F1222F"/>
    <w:rsid w:val="00F13974"/>
    <w:rsid w:val="00F14C5D"/>
    <w:rsid w:val="00F2712A"/>
    <w:rsid w:val="00F27AED"/>
    <w:rsid w:val="00F33DA9"/>
    <w:rsid w:val="00F37C33"/>
    <w:rsid w:val="00F40DEF"/>
    <w:rsid w:val="00F46AE9"/>
    <w:rsid w:val="00F52DB8"/>
    <w:rsid w:val="00F7786E"/>
    <w:rsid w:val="00F874D2"/>
    <w:rsid w:val="00F93B25"/>
    <w:rsid w:val="00F95A10"/>
    <w:rsid w:val="00FB173A"/>
    <w:rsid w:val="00FC610E"/>
    <w:rsid w:val="00FD5A5F"/>
    <w:rsid w:val="00FE1AA2"/>
    <w:rsid w:val="00FE2D17"/>
    <w:rsid w:val="00FE64B5"/>
    <w:rsid w:val="00FF64B3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4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5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52DB8"/>
  </w:style>
  <w:style w:type="paragraph" w:styleId="Altbilgi">
    <w:name w:val="footer"/>
    <w:basedOn w:val="Normal"/>
    <w:link w:val="AltbilgiChar"/>
    <w:uiPriority w:val="99"/>
    <w:unhideWhenUsed/>
    <w:rsid w:val="00F5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2DB8"/>
  </w:style>
  <w:style w:type="paragraph" w:customStyle="1" w:styleId="Style14">
    <w:name w:val="Style14"/>
    <w:basedOn w:val="Normal"/>
    <w:uiPriority w:val="99"/>
    <w:rsid w:val="00AC7526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Verdana" w:eastAsiaTheme="minorEastAsia" w:hAnsi="Verdana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C7526"/>
    <w:pPr>
      <w:ind w:left="720"/>
      <w:contextualSpacing/>
    </w:pPr>
  </w:style>
  <w:style w:type="paragraph" w:customStyle="1" w:styleId="Style10">
    <w:name w:val="Style10"/>
    <w:basedOn w:val="Normal"/>
    <w:uiPriority w:val="99"/>
    <w:rsid w:val="009B0EC0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Verdana" w:eastAsiaTheme="minorEastAsia" w:hAnsi="Verdan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9B0EC0"/>
    <w:rPr>
      <w:rFonts w:ascii="Verdana" w:hAnsi="Verdana" w:cs="Verdan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D5132-5BA3-4BA5-8B8C-D675CAE7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5522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ebellikan</cp:lastModifiedBy>
  <cp:revision>10</cp:revision>
  <cp:lastPrinted>2014-09-08T12:23:00Z</cp:lastPrinted>
  <dcterms:created xsi:type="dcterms:W3CDTF">2014-09-08T12:03:00Z</dcterms:created>
  <dcterms:modified xsi:type="dcterms:W3CDTF">2014-09-08T12:23:00Z</dcterms:modified>
</cp:coreProperties>
</file>