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A4" w:rsidRPr="003256F8" w:rsidRDefault="009877A4" w:rsidP="00901B13">
      <w:pPr>
        <w:pStyle w:val="Default"/>
        <w:spacing w:line="360" w:lineRule="auto"/>
        <w:jc w:val="center"/>
        <w:rPr>
          <w:color w:val="auto"/>
        </w:rPr>
      </w:pPr>
      <w:r w:rsidRPr="003256F8">
        <w:rPr>
          <w:b/>
          <w:bCs/>
          <w:color w:val="auto"/>
        </w:rPr>
        <w:t>KISA ÜRÜN BİLGİ</w:t>
      </w:r>
      <w:r w:rsidR="00BA7E02" w:rsidRPr="003256F8">
        <w:rPr>
          <w:b/>
          <w:bCs/>
          <w:color w:val="auto"/>
        </w:rPr>
        <w:t>Sİ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 xml:space="preserve">1. BEŞERİ TIBBİ ÜRÜNÜN ADI </w:t>
      </w:r>
    </w:p>
    <w:p w:rsidR="009877A4" w:rsidRPr="003256F8" w:rsidRDefault="00BF3585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XEİMER</w:t>
      </w:r>
      <w:r w:rsidR="009877A4" w:rsidRPr="003256F8">
        <w:rPr>
          <w:color w:val="auto"/>
        </w:rPr>
        <w:t xml:space="preserve"> 10 mg </w:t>
      </w:r>
      <w:r w:rsidR="00901B13" w:rsidRPr="003256F8">
        <w:rPr>
          <w:color w:val="auto"/>
        </w:rPr>
        <w:t>f</w:t>
      </w:r>
      <w:r w:rsidR="009877A4" w:rsidRPr="003256F8">
        <w:rPr>
          <w:color w:val="auto"/>
        </w:rPr>
        <w:t xml:space="preserve">ilm </w:t>
      </w:r>
      <w:r w:rsidR="00F848CB" w:rsidRPr="003256F8">
        <w:rPr>
          <w:color w:val="auto"/>
        </w:rPr>
        <w:t>t</w:t>
      </w:r>
      <w:r w:rsidR="009877A4" w:rsidRPr="003256F8">
        <w:rPr>
          <w:color w:val="auto"/>
        </w:rPr>
        <w:t xml:space="preserve">ablet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>2. KALİTATİF VE KANTİTATİF BİLEŞİM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>Etkin madde</w:t>
      </w:r>
      <w:r w:rsidR="00BC3ECD" w:rsidRPr="003256F8">
        <w:rPr>
          <w:b/>
          <w:bCs/>
          <w:color w:val="auto"/>
        </w:rPr>
        <w:t>:</w:t>
      </w:r>
    </w:p>
    <w:p w:rsidR="009877A4" w:rsidRPr="003256F8" w:rsidRDefault="009877A4" w:rsidP="00901B13">
      <w:pPr>
        <w:pStyle w:val="Default"/>
        <w:tabs>
          <w:tab w:val="right" w:pos="3969"/>
        </w:tabs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hidroklorür</w:t>
      </w:r>
      <w:proofErr w:type="spellEnd"/>
      <w:r w:rsidR="00901B13" w:rsidRPr="003256F8">
        <w:rPr>
          <w:color w:val="auto"/>
          <w:u w:val="dotted"/>
        </w:rPr>
        <w:tab/>
      </w:r>
      <w:r w:rsidR="00BC3ECD" w:rsidRPr="003256F8">
        <w:rPr>
          <w:color w:val="auto"/>
        </w:rPr>
        <w:t>10.00 mg</w:t>
      </w:r>
    </w:p>
    <w:p w:rsidR="00BC3ECD" w:rsidRPr="003256F8" w:rsidRDefault="00BC3ECD" w:rsidP="00901B13">
      <w:pPr>
        <w:pStyle w:val="Default"/>
        <w:tabs>
          <w:tab w:val="right" w:pos="3969"/>
        </w:tabs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(serbest </w:t>
      </w:r>
      <w:proofErr w:type="gramStart"/>
      <w:r w:rsidRPr="003256F8">
        <w:rPr>
          <w:color w:val="auto"/>
        </w:rPr>
        <w:t>baz</w:t>
      </w:r>
      <w:proofErr w:type="gram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8.31 mg)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>Yardımcı maddeler</w:t>
      </w:r>
      <w:r w:rsidR="00BC3ECD" w:rsidRPr="003256F8">
        <w:rPr>
          <w:b/>
          <w:bCs/>
          <w:color w:val="auto"/>
        </w:rPr>
        <w:t>:</w:t>
      </w:r>
    </w:p>
    <w:p w:rsidR="009877A4" w:rsidRPr="003256F8" w:rsidRDefault="009877A4" w:rsidP="00901B13">
      <w:pPr>
        <w:pStyle w:val="Default"/>
        <w:tabs>
          <w:tab w:val="right" w:pos="3969"/>
        </w:tabs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Laktoz </w:t>
      </w:r>
      <w:proofErr w:type="spellStart"/>
      <w:r w:rsidRPr="003256F8">
        <w:rPr>
          <w:color w:val="auto"/>
        </w:rPr>
        <w:t>monohidrat</w:t>
      </w:r>
      <w:proofErr w:type="spellEnd"/>
      <w:r w:rsidR="00901B13" w:rsidRPr="003256F8">
        <w:rPr>
          <w:color w:val="auto"/>
          <w:u w:val="dotted"/>
        </w:rPr>
        <w:tab/>
      </w:r>
      <w:proofErr w:type="gramStart"/>
      <w:r w:rsidRPr="003256F8">
        <w:rPr>
          <w:color w:val="auto"/>
        </w:rPr>
        <w:t>1</w:t>
      </w:r>
      <w:r w:rsidR="00727EEB" w:rsidRPr="003256F8">
        <w:rPr>
          <w:color w:val="auto"/>
        </w:rPr>
        <w:t>09.50</w:t>
      </w:r>
      <w:proofErr w:type="gramEnd"/>
      <w:r w:rsidR="00901B13" w:rsidRPr="003256F8">
        <w:rPr>
          <w:color w:val="auto"/>
        </w:rPr>
        <w:t xml:space="preserve"> mg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Yardımcı maddelerin listesi için bkz. </w:t>
      </w:r>
      <w:proofErr w:type="gramStart"/>
      <w:r w:rsidRPr="003256F8">
        <w:rPr>
          <w:color w:val="auto"/>
        </w:rPr>
        <w:t>6.1</w:t>
      </w:r>
      <w:proofErr w:type="gramEnd"/>
      <w:r w:rsidRPr="003256F8">
        <w:rPr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 xml:space="preserve">3. FARMASÖTİK FORM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Film Tablet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Film tabletler, </w:t>
      </w:r>
      <w:r w:rsidR="00A71102" w:rsidRPr="003256F8">
        <w:rPr>
          <w:color w:val="auto"/>
        </w:rPr>
        <w:t>b</w:t>
      </w:r>
      <w:r w:rsidR="00F07937" w:rsidRPr="003256F8">
        <w:rPr>
          <w:color w:val="auto"/>
        </w:rPr>
        <w:t>i</w:t>
      </w:r>
      <w:r w:rsidR="00A71102" w:rsidRPr="003256F8">
        <w:rPr>
          <w:color w:val="auto"/>
        </w:rPr>
        <w:t>r</w:t>
      </w:r>
      <w:r w:rsidR="00F07937" w:rsidRPr="003256F8">
        <w:rPr>
          <w:color w:val="auto"/>
        </w:rPr>
        <w:t xml:space="preserve"> yüzü çentikli</w:t>
      </w:r>
      <w:r w:rsidR="009A05D2" w:rsidRPr="003256F8">
        <w:rPr>
          <w:color w:val="auto"/>
        </w:rPr>
        <w:t xml:space="preserve">, </w:t>
      </w:r>
      <w:proofErr w:type="spellStart"/>
      <w:r w:rsidR="00A71102" w:rsidRPr="003256F8">
        <w:rPr>
          <w:color w:val="auto"/>
        </w:rPr>
        <w:t>oblong</w:t>
      </w:r>
      <w:proofErr w:type="spellEnd"/>
      <w:r w:rsidR="00A71102" w:rsidRPr="003256F8">
        <w:rPr>
          <w:color w:val="auto"/>
        </w:rPr>
        <w:t>, beyaz</w:t>
      </w:r>
      <w:r w:rsidR="00F07937" w:rsidRPr="003256F8">
        <w:rPr>
          <w:color w:val="auto"/>
        </w:rPr>
        <w:t xml:space="preserve"> film kaplı tabletlerdir</w:t>
      </w:r>
    </w:p>
    <w:p w:rsidR="00372991" w:rsidRPr="003256F8" w:rsidRDefault="00A91E6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Tabletler eşit olarak yarıya bölünebilir.</w:t>
      </w:r>
    </w:p>
    <w:p w:rsidR="00A91E64" w:rsidRPr="003256F8" w:rsidRDefault="00A91E6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b/>
          <w:bCs/>
          <w:color w:val="auto"/>
        </w:rPr>
      </w:pPr>
      <w:r w:rsidRPr="003256F8">
        <w:rPr>
          <w:b/>
          <w:bCs/>
          <w:color w:val="auto"/>
        </w:rPr>
        <w:t xml:space="preserve">4. KLİNİK ÖZELLİKLER </w:t>
      </w: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4.1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</w:t>
      </w:r>
      <w:proofErr w:type="spellStart"/>
      <w:r w:rsidRPr="003256F8">
        <w:rPr>
          <w:b/>
          <w:bCs/>
          <w:color w:val="auto"/>
        </w:rPr>
        <w:t>Terapötik</w:t>
      </w:r>
      <w:proofErr w:type="spellEnd"/>
      <w:r w:rsidRPr="003256F8">
        <w:rPr>
          <w:b/>
          <w:bCs/>
          <w:color w:val="auto"/>
        </w:rPr>
        <w:t xml:space="preserve"> </w:t>
      </w:r>
      <w:proofErr w:type="spellStart"/>
      <w:r w:rsidRPr="003256F8">
        <w:rPr>
          <w:b/>
          <w:bCs/>
          <w:color w:val="auto"/>
        </w:rPr>
        <w:t>endikasyonlar</w:t>
      </w:r>
      <w:proofErr w:type="spellEnd"/>
      <w:r w:rsidRPr="003256F8">
        <w:rPr>
          <w:b/>
          <w:bCs/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Orta ve şiddetli evre Alzheimer hastalığı tedavisinde kullanılır.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4.2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</w:t>
      </w:r>
      <w:proofErr w:type="spellStart"/>
      <w:r w:rsidRPr="003256F8">
        <w:rPr>
          <w:b/>
          <w:bCs/>
          <w:color w:val="auto"/>
        </w:rPr>
        <w:t>Pozoloji</w:t>
      </w:r>
      <w:proofErr w:type="spellEnd"/>
      <w:r w:rsidRPr="003256F8">
        <w:rPr>
          <w:b/>
          <w:bCs/>
          <w:color w:val="auto"/>
        </w:rPr>
        <w:t xml:space="preserve"> ve uygulama şekli </w:t>
      </w:r>
    </w:p>
    <w:p w:rsidR="002D640F" w:rsidRPr="003256F8" w:rsidRDefault="002D640F" w:rsidP="00901B13">
      <w:pPr>
        <w:pStyle w:val="Default"/>
        <w:spacing w:line="360" w:lineRule="auto"/>
        <w:jc w:val="both"/>
        <w:rPr>
          <w:b/>
          <w:color w:val="auto"/>
        </w:rPr>
      </w:pPr>
      <w:proofErr w:type="spellStart"/>
      <w:r w:rsidRPr="003256F8">
        <w:rPr>
          <w:b/>
          <w:color w:val="auto"/>
        </w:rPr>
        <w:t>Pozoloji</w:t>
      </w:r>
      <w:proofErr w:type="spellEnd"/>
      <w:r w:rsidRPr="003256F8">
        <w:rPr>
          <w:b/>
          <w:color w:val="auto"/>
        </w:rPr>
        <w:t>/uygulama sıklığı ve süresi: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Tedavi, Alzheimer hastalığı tanı ve tedavisinde deneyimli bir hekim tarafından başlatılmalı ve kontrol edilmelidir. Tedaviye sadece, hastanın ilaç almasını düzenli olarak izleyecek bir bakıcının varlığında başlanmalıdır. Tanı, güncel rehberler doğrultusunda yapılmalıdır. </w:t>
      </w:r>
    </w:p>
    <w:p w:rsidR="00F05D0E" w:rsidRPr="003256F8" w:rsidRDefault="00F05D0E" w:rsidP="00901B13">
      <w:pPr>
        <w:pStyle w:val="Default"/>
        <w:spacing w:line="360" w:lineRule="auto"/>
        <w:jc w:val="both"/>
        <w:rPr>
          <w:color w:val="auto"/>
        </w:rPr>
      </w:pPr>
    </w:p>
    <w:p w:rsidR="00F05D0E" w:rsidRPr="003256F8" w:rsidRDefault="00F05D0E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tolere</w:t>
      </w:r>
      <w:proofErr w:type="spellEnd"/>
      <w:r w:rsidRPr="003256F8">
        <w:rPr>
          <w:color w:val="auto"/>
        </w:rPr>
        <w:t xml:space="preserve"> edilmesi ve </w:t>
      </w:r>
      <w:proofErr w:type="spellStart"/>
      <w:r w:rsidRPr="003256F8">
        <w:rPr>
          <w:color w:val="auto"/>
        </w:rPr>
        <w:t>dozlaması</w:t>
      </w:r>
      <w:proofErr w:type="spellEnd"/>
      <w:r w:rsidRPr="003256F8">
        <w:rPr>
          <w:color w:val="auto"/>
        </w:rPr>
        <w:t xml:space="preserve">, tercihen tedavi başlangıcından sonraki üç ay içinde düzenli aralıklarla değerlendirilmelidir. Sonrasında,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sağladığı klinik yarar ve hastanın tedaviye toleransı güncel klinik rehberler doğrultusunda düzenli olarak değerlendirilmelidir. </w:t>
      </w:r>
      <w:proofErr w:type="spellStart"/>
      <w:r w:rsidRPr="003256F8">
        <w:rPr>
          <w:color w:val="auto"/>
        </w:rPr>
        <w:t>Terapötik</w:t>
      </w:r>
      <w:proofErr w:type="spellEnd"/>
      <w:r w:rsidRPr="003256F8">
        <w:rPr>
          <w:color w:val="auto"/>
        </w:rPr>
        <w:t xml:space="preserve"> fayda olumlu olduğu ve hasta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iyi </w:t>
      </w:r>
      <w:proofErr w:type="spellStart"/>
      <w:r w:rsidRPr="003256F8">
        <w:rPr>
          <w:color w:val="auto"/>
        </w:rPr>
        <w:t>tolere</w:t>
      </w:r>
      <w:proofErr w:type="spellEnd"/>
      <w:r w:rsidRPr="003256F8">
        <w:rPr>
          <w:color w:val="auto"/>
        </w:rPr>
        <w:t xml:space="preserve"> ettiği sürece, idame tedavisine devam edilebilir. </w:t>
      </w:r>
      <w:proofErr w:type="spellStart"/>
      <w:r w:rsidRPr="003256F8">
        <w:rPr>
          <w:color w:val="auto"/>
        </w:rPr>
        <w:t>Terapötik</w:t>
      </w:r>
      <w:proofErr w:type="spellEnd"/>
      <w:r w:rsidRPr="003256F8">
        <w:rPr>
          <w:color w:val="auto"/>
        </w:rPr>
        <w:t xml:space="preserve"> etkinin artık olmadığına dair bir kanıt varlığında veya hasta tedaviyi </w:t>
      </w:r>
      <w:proofErr w:type="spellStart"/>
      <w:r w:rsidRPr="003256F8">
        <w:rPr>
          <w:color w:val="auto"/>
        </w:rPr>
        <w:t>tolere</w:t>
      </w:r>
      <w:proofErr w:type="spellEnd"/>
      <w:r w:rsidRPr="003256F8">
        <w:rPr>
          <w:color w:val="auto"/>
        </w:rPr>
        <w:t xml:space="preserve"> etmiyorsa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bırakılması düşünülmelidir.</w:t>
      </w:r>
    </w:p>
    <w:p w:rsidR="00F05D0E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/>
          <w:iCs/>
          <w:color w:val="auto"/>
        </w:rPr>
        <w:lastRenderedPageBreak/>
        <w:t>Yetişkinler</w:t>
      </w:r>
      <w:r w:rsidR="00F05D0E" w:rsidRPr="003256F8">
        <w:rPr>
          <w:color w:val="auto"/>
        </w:rPr>
        <w:t>:</w:t>
      </w:r>
    </w:p>
    <w:p w:rsidR="00F05D0E" w:rsidRPr="003256F8" w:rsidRDefault="00F05D0E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Doz </w:t>
      </w:r>
      <w:proofErr w:type="spellStart"/>
      <w:r w:rsidRPr="003256F8">
        <w:rPr>
          <w:color w:val="auto"/>
        </w:rPr>
        <w:t>titrasyonu</w:t>
      </w:r>
      <w:proofErr w:type="spellEnd"/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Ön</w:t>
      </w:r>
      <w:r w:rsidR="008B2035" w:rsidRPr="003256F8">
        <w:rPr>
          <w:color w:val="auto"/>
        </w:rPr>
        <w:t xml:space="preserve">erilen </w:t>
      </w:r>
      <w:r w:rsidR="00F05D0E" w:rsidRPr="003256F8">
        <w:rPr>
          <w:color w:val="auto"/>
        </w:rPr>
        <w:t xml:space="preserve">maksimum günlük doz </w:t>
      </w:r>
      <w:r w:rsidR="008B2035" w:rsidRPr="003256F8">
        <w:rPr>
          <w:color w:val="auto"/>
        </w:rPr>
        <w:t xml:space="preserve">günde 20 </w:t>
      </w:r>
      <w:proofErr w:type="spellStart"/>
      <w:r w:rsidR="008B2035" w:rsidRPr="003256F8">
        <w:rPr>
          <w:color w:val="auto"/>
        </w:rPr>
        <w:t>mg’di</w:t>
      </w:r>
      <w:r w:rsidRPr="003256F8">
        <w:rPr>
          <w:color w:val="auto"/>
        </w:rPr>
        <w:t>r</w:t>
      </w:r>
      <w:proofErr w:type="spellEnd"/>
      <w:r w:rsidRPr="003256F8">
        <w:rPr>
          <w:color w:val="auto"/>
        </w:rPr>
        <w:t xml:space="preserve">. </w:t>
      </w:r>
      <w:r w:rsidR="00F05D0E" w:rsidRPr="003256F8">
        <w:rPr>
          <w:color w:val="auto"/>
        </w:rPr>
        <w:t>İstenmeyen</w:t>
      </w:r>
      <w:r w:rsidRPr="003256F8">
        <w:rPr>
          <w:color w:val="auto"/>
        </w:rPr>
        <w:t xml:space="preserve"> etki riskini azaltmak için, idame dozuna ilk üç hafta boyunca, haftada 5 </w:t>
      </w:r>
      <w:proofErr w:type="spellStart"/>
      <w:r w:rsidRPr="003256F8">
        <w:rPr>
          <w:color w:val="auto"/>
        </w:rPr>
        <w:t>mg’l</w:t>
      </w:r>
      <w:r w:rsidR="008B2035" w:rsidRPr="003256F8">
        <w:rPr>
          <w:color w:val="auto"/>
        </w:rPr>
        <w:t>i</w:t>
      </w:r>
      <w:r w:rsidRPr="003256F8">
        <w:rPr>
          <w:color w:val="auto"/>
        </w:rPr>
        <w:t>k</w:t>
      </w:r>
      <w:proofErr w:type="spellEnd"/>
      <w:r w:rsidRPr="003256F8">
        <w:rPr>
          <w:color w:val="auto"/>
        </w:rPr>
        <w:t xml:space="preserve"> artışlarla şu şekilde ulaşılmalıdır: </w:t>
      </w:r>
    </w:p>
    <w:p w:rsidR="00F05D0E" w:rsidRPr="003256F8" w:rsidRDefault="00F05D0E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1. hafta (gün 1-7):</w:t>
      </w:r>
    </w:p>
    <w:p w:rsidR="00F05D0E" w:rsidRPr="003256F8" w:rsidRDefault="00F05D0E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Hasta 7 gün boyunca, günde, 10 </w:t>
      </w:r>
      <w:proofErr w:type="spellStart"/>
      <w:r w:rsidRPr="003256F8">
        <w:rPr>
          <w:color w:val="auto"/>
        </w:rPr>
        <w:t>mg’lık</w:t>
      </w:r>
      <w:proofErr w:type="spellEnd"/>
      <w:r w:rsidRPr="003256F8">
        <w:rPr>
          <w:color w:val="auto"/>
        </w:rPr>
        <w:t xml:space="preserve"> bir film tabletin yarısını almalıdır.</w:t>
      </w:r>
    </w:p>
    <w:p w:rsidR="00F05D0E" w:rsidRPr="003256F8" w:rsidRDefault="00F05D0E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>2. hafta (gün 8-14):</w:t>
      </w:r>
    </w:p>
    <w:p w:rsidR="00F05D0E" w:rsidRPr="003256F8" w:rsidRDefault="00F05D0E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>Hasta 7 gün boyunca, günde, bir 10</w:t>
      </w:r>
      <w:r w:rsidR="002E538C" w:rsidRPr="003256F8">
        <w:rPr>
          <w:color w:val="auto"/>
        </w:rPr>
        <w:t xml:space="preserve"> </w:t>
      </w:r>
      <w:r w:rsidRPr="003256F8">
        <w:rPr>
          <w:color w:val="auto"/>
        </w:rPr>
        <w:t>mg film tablet almalıdır.</w:t>
      </w:r>
    </w:p>
    <w:p w:rsidR="00F05D0E" w:rsidRPr="003256F8" w:rsidRDefault="00F05D0E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>3. hafta (gün 15-21):</w:t>
      </w:r>
    </w:p>
    <w:p w:rsidR="00F05D0E" w:rsidRPr="003256F8" w:rsidRDefault="00F05D0E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>Hasta 7 gün boyunca, günde, bir buçuk 10 mg film tablet almalıdır.</w:t>
      </w:r>
    </w:p>
    <w:p w:rsidR="00F05D0E" w:rsidRPr="003256F8" w:rsidRDefault="00F05D0E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>4. haftadan itibaren:</w:t>
      </w:r>
    </w:p>
    <w:p w:rsidR="00F05D0E" w:rsidRPr="003256F8" w:rsidRDefault="00F05D0E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>Hasta günde iki adet 10</w:t>
      </w:r>
      <w:r w:rsidR="002E538C" w:rsidRPr="003256F8">
        <w:rPr>
          <w:color w:val="auto"/>
        </w:rPr>
        <w:t xml:space="preserve"> </w:t>
      </w:r>
      <w:r w:rsidRPr="003256F8">
        <w:rPr>
          <w:color w:val="auto"/>
        </w:rPr>
        <w:t>mg film tablet almalıdır.</w:t>
      </w:r>
    </w:p>
    <w:p w:rsidR="002E538C" w:rsidRPr="003256F8" w:rsidRDefault="002E538C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>İdame dozu:</w:t>
      </w:r>
    </w:p>
    <w:p w:rsidR="00901C3F" w:rsidRPr="003256F8" w:rsidRDefault="00901C3F" w:rsidP="00901B13">
      <w:pPr>
        <w:pStyle w:val="Default"/>
        <w:spacing w:line="360" w:lineRule="auto"/>
        <w:rPr>
          <w:color w:val="auto"/>
        </w:rPr>
      </w:pPr>
      <w:r w:rsidRPr="003256F8">
        <w:rPr>
          <w:color w:val="auto"/>
        </w:rPr>
        <w:t xml:space="preserve">Önerilen idame dozu günde 20 </w:t>
      </w:r>
      <w:proofErr w:type="spellStart"/>
      <w:r w:rsidRPr="003256F8">
        <w:rPr>
          <w:color w:val="auto"/>
        </w:rPr>
        <w:t>mg’dır</w:t>
      </w:r>
      <w:proofErr w:type="spellEnd"/>
      <w:r w:rsidRPr="003256F8">
        <w:rPr>
          <w:color w:val="auto"/>
        </w:rPr>
        <w:t>.</w:t>
      </w:r>
    </w:p>
    <w:p w:rsidR="00F05D0E" w:rsidRPr="003256F8" w:rsidRDefault="00F05D0E" w:rsidP="00901B13">
      <w:pPr>
        <w:pStyle w:val="Default"/>
        <w:spacing w:line="360" w:lineRule="auto"/>
        <w:rPr>
          <w:color w:val="auto"/>
        </w:rPr>
      </w:pPr>
    </w:p>
    <w:p w:rsidR="00F05D0E" w:rsidRPr="003256F8" w:rsidRDefault="00F05D0E" w:rsidP="00901B13">
      <w:pPr>
        <w:pStyle w:val="Default"/>
        <w:spacing w:line="360" w:lineRule="auto"/>
        <w:jc w:val="both"/>
        <w:rPr>
          <w:b/>
          <w:bCs/>
          <w:color w:val="auto"/>
        </w:rPr>
      </w:pPr>
      <w:r w:rsidRPr="003256F8">
        <w:rPr>
          <w:b/>
          <w:bCs/>
          <w:color w:val="auto"/>
        </w:rPr>
        <w:t>Uygulama şekli:</w:t>
      </w:r>
    </w:p>
    <w:p w:rsidR="00F05D0E" w:rsidRPr="003256F8" w:rsidRDefault="00F05D0E" w:rsidP="00901B13">
      <w:pPr>
        <w:pStyle w:val="Default"/>
        <w:spacing w:line="360" w:lineRule="auto"/>
        <w:jc w:val="both"/>
        <w:rPr>
          <w:bCs/>
          <w:color w:val="auto"/>
        </w:rPr>
      </w:pPr>
      <w:r w:rsidRPr="003256F8">
        <w:rPr>
          <w:bCs/>
          <w:color w:val="auto"/>
        </w:rPr>
        <w:t>XEİMER günde bir defa ve her gün aynı saatte alınmalıdır. Tabletler yemeklerle veya ayrı olarak alınabilir.</w:t>
      </w:r>
    </w:p>
    <w:p w:rsidR="00F05D0E" w:rsidRPr="003256F8" w:rsidRDefault="00F05D0E" w:rsidP="00901B13">
      <w:pPr>
        <w:pStyle w:val="Default"/>
        <w:spacing w:line="360" w:lineRule="auto"/>
        <w:jc w:val="both"/>
        <w:rPr>
          <w:bCs/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 xml:space="preserve">Özel </w:t>
      </w:r>
      <w:proofErr w:type="gramStart"/>
      <w:r w:rsidRPr="003256F8">
        <w:rPr>
          <w:b/>
          <w:bCs/>
          <w:color w:val="auto"/>
        </w:rPr>
        <w:t>popülasyonlara</w:t>
      </w:r>
      <w:proofErr w:type="gramEnd"/>
      <w:r w:rsidRPr="003256F8">
        <w:rPr>
          <w:b/>
          <w:bCs/>
          <w:color w:val="auto"/>
        </w:rPr>
        <w:t xml:space="preserve"> ilişkin ek bilgiler: </w:t>
      </w:r>
    </w:p>
    <w:p w:rsidR="007521A4" w:rsidRPr="003256F8" w:rsidRDefault="007521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iCs/>
          <w:color w:val="auto"/>
        </w:rPr>
        <w:t>Böbrek yetmezliği:</w:t>
      </w:r>
      <w:r w:rsidRPr="003256F8">
        <w:rPr>
          <w:i/>
          <w:iCs/>
          <w:color w:val="auto"/>
        </w:rPr>
        <w:t xml:space="preserve"> </w:t>
      </w:r>
      <w:r w:rsidRPr="003256F8">
        <w:rPr>
          <w:color w:val="auto"/>
        </w:rPr>
        <w:t>Hafif şiddette böbrek yetmezliği olan hastalarda (</w:t>
      </w:r>
      <w:proofErr w:type="spellStart"/>
      <w:r w:rsidRPr="003256F8">
        <w:rPr>
          <w:color w:val="auto"/>
        </w:rPr>
        <w:t>kreatinin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klirensi</w:t>
      </w:r>
      <w:proofErr w:type="spellEnd"/>
      <w:r w:rsidRPr="003256F8">
        <w:rPr>
          <w:color w:val="auto"/>
        </w:rPr>
        <w:t xml:space="preserve"> 50-80 ml/</w:t>
      </w:r>
      <w:proofErr w:type="spellStart"/>
      <w:r w:rsidRPr="003256F8">
        <w:rPr>
          <w:color w:val="auto"/>
        </w:rPr>
        <w:t>dak</w:t>
      </w:r>
      <w:proofErr w:type="spellEnd"/>
      <w:r w:rsidRPr="003256F8">
        <w:rPr>
          <w:color w:val="auto"/>
        </w:rPr>
        <w:t>) doz ayarlaması gerekmez. Orta şiddette böbrek yetmezliği olan hastalarda (</w:t>
      </w:r>
      <w:proofErr w:type="spellStart"/>
      <w:r w:rsidRPr="003256F8">
        <w:rPr>
          <w:color w:val="auto"/>
        </w:rPr>
        <w:t>kreatinin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klirensi</w:t>
      </w:r>
      <w:proofErr w:type="spellEnd"/>
      <w:r w:rsidRPr="003256F8">
        <w:rPr>
          <w:color w:val="auto"/>
        </w:rPr>
        <w:t xml:space="preserve"> 30-49 ml/</w:t>
      </w:r>
      <w:proofErr w:type="spellStart"/>
      <w:r w:rsidRPr="003256F8">
        <w:rPr>
          <w:color w:val="auto"/>
        </w:rPr>
        <w:t>dak</w:t>
      </w:r>
      <w:proofErr w:type="spellEnd"/>
      <w:r w:rsidRPr="003256F8">
        <w:rPr>
          <w:color w:val="auto"/>
        </w:rPr>
        <w:t xml:space="preserve">) günlük doz 10 mg olmalıdır. Tedavinin en az 7 günü boyunca iyi </w:t>
      </w:r>
      <w:proofErr w:type="spellStart"/>
      <w:r w:rsidRPr="003256F8">
        <w:rPr>
          <w:color w:val="auto"/>
        </w:rPr>
        <w:t>tolere</w:t>
      </w:r>
      <w:proofErr w:type="spellEnd"/>
      <w:r w:rsidRPr="003256F8">
        <w:rPr>
          <w:color w:val="auto"/>
        </w:rPr>
        <w:t xml:space="preserve"> edilirse, standart </w:t>
      </w:r>
      <w:proofErr w:type="spellStart"/>
      <w:r w:rsidRPr="003256F8">
        <w:rPr>
          <w:color w:val="auto"/>
        </w:rPr>
        <w:t>titrasyon</w:t>
      </w:r>
      <w:proofErr w:type="spellEnd"/>
      <w:r w:rsidRPr="003256F8">
        <w:rPr>
          <w:color w:val="auto"/>
        </w:rPr>
        <w:t xml:space="preserve"> programı uygulanmak koşuluyla, günlük doz, 20 mg düzeyine arttırılabilir. Ağır böbrek yetmezliği olan hastalar (</w:t>
      </w:r>
      <w:proofErr w:type="spellStart"/>
      <w:r w:rsidRPr="003256F8">
        <w:rPr>
          <w:color w:val="auto"/>
        </w:rPr>
        <w:t>kreatinin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klerensi</w:t>
      </w:r>
      <w:proofErr w:type="spellEnd"/>
      <w:r w:rsidRPr="003256F8">
        <w:rPr>
          <w:color w:val="auto"/>
        </w:rPr>
        <w:t xml:space="preserve"> 5-29 ml/</w:t>
      </w:r>
      <w:proofErr w:type="spellStart"/>
      <w:r w:rsidRPr="003256F8">
        <w:rPr>
          <w:color w:val="auto"/>
        </w:rPr>
        <w:t>dak</w:t>
      </w:r>
      <w:proofErr w:type="spellEnd"/>
      <w:r w:rsidRPr="003256F8">
        <w:rPr>
          <w:color w:val="auto"/>
        </w:rPr>
        <w:t xml:space="preserve">) için günlük doz 10 mg olmalıdır. </w:t>
      </w:r>
    </w:p>
    <w:p w:rsidR="002E538C" w:rsidRPr="003256F8" w:rsidRDefault="002E538C" w:rsidP="00901B13">
      <w:pPr>
        <w:pStyle w:val="Default"/>
        <w:spacing w:line="360" w:lineRule="auto"/>
        <w:jc w:val="both"/>
        <w:rPr>
          <w:color w:val="auto"/>
        </w:rPr>
      </w:pPr>
    </w:p>
    <w:p w:rsidR="007521A4" w:rsidRPr="003256F8" w:rsidRDefault="007521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iCs/>
          <w:color w:val="auto"/>
        </w:rPr>
        <w:t>Karaciğer yetmezliği:</w:t>
      </w:r>
      <w:r w:rsidRPr="003256F8">
        <w:rPr>
          <w:i/>
          <w:iCs/>
          <w:color w:val="auto"/>
        </w:rPr>
        <w:t xml:space="preserve"> </w:t>
      </w:r>
      <w:r w:rsidRPr="003256F8">
        <w:rPr>
          <w:color w:val="auto"/>
        </w:rPr>
        <w:t>Hafif veya orta şiddette karaciğer yetmezliği olan hastalarda (</w:t>
      </w:r>
      <w:proofErr w:type="spellStart"/>
      <w:r w:rsidRPr="003256F8">
        <w:rPr>
          <w:color w:val="auto"/>
        </w:rPr>
        <w:t>Child</w:t>
      </w:r>
      <w:proofErr w:type="spellEnd"/>
      <w:r w:rsidRPr="003256F8">
        <w:rPr>
          <w:color w:val="auto"/>
        </w:rPr>
        <w:t>-</w:t>
      </w:r>
      <w:proofErr w:type="spellStart"/>
      <w:r w:rsidRPr="003256F8">
        <w:rPr>
          <w:color w:val="auto"/>
        </w:rPr>
        <w:t>Pugh</w:t>
      </w:r>
      <w:proofErr w:type="spellEnd"/>
      <w:r w:rsidRPr="003256F8">
        <w:rPr>
          <w:color w:val="auto"/>
        </w:rPr>
        <w:t xml:space="preserve"> A ve </w:t>
      </w:r>
      <w:proofErr w:type="spellStart"/>
      <w:r w:rsidRPr="003256F8">
        <w:rPr>
          <w:color w:val="auto"/>
        </w:rPr>
        <w:t>Child</w:t>
      </w:r>
      <w:proofErr w:type="spellEnd"/>
      <w:r w:rsidRPr="003256F8">
        <w:rPr>
          <w:color w:val="auto"/>
        </w:rPr>
        <w:t>-</w:t>
      </w:r>
      <w:proofErr w:type="spellStart"/>
      <w:r w:rsidRPr="003256F8">
        <w:rPr>
          <w:color w:val="auto"/>
        </w:rPr>
        <w:t>Pugh</w:t>
      </w:r>
      <w:proofErr w:type="spellEnd"/>
      <w:r w:rsidRPr="003256F8">
        <w:rPr>
          <w:color w:val="auto"/>
        </w:rPr>
        <w:t xml:space="preserve"> B) doz ayarlamasına gerek yoktur. Ağır karaciğer yetmezliği olan hastalarda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kullanımı hakkında veri bulunmamaktadır. Ağır karaciğer yetmezliği olan hastalarda XEİMER kullanımı önerilmez.</w:t>
      </w:r>
    </w:p>
    <w:p w:rsidR="002E538C" w:rsidRPr="003256F8" w:rsidRDefault="002E538C" w:rsidP="00901B13">
      <w:pPr>
        <w:pStyle w:val="Default"/>
        <w:spacing w:line="360" w:lineRule="auto"/>
        <w:jc w:val="both"/>
        <w:rPr>
          <w:color w:val="auto"/>
        </w:rPr>
      </w:pPr>
    </w:p>
    <w:p w:rsidR="007521A4" w:rsidRPr="003256F8" w:rsidRDefault="007521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iCs/>
          <w:color w:val="auto"/>
        </w:rPr>
        <w:t xml:space="preserve">Pediyatrik </w:t>
      </w:r>
      <w:proofErr w:type="gramStart"/>
      <w:r w:rsidRPr="003256F8">
        <w:rPr>
          <w:b/>
          <w:iCs/>
          <w:color w:val="auto"/>
        </w:rPr>
        <w:t>popülasyon</w:t>
      </w:r>
      <w:proofErr w:type="gramEnd"/>
      <w:r w:rsidRPr="003256F8">
        <w:rPr>
          <w:b/>
          <w:iCs/>
          <w:color w:val="auto"/>
        </w:rPr>
        <w:t>:</w:t>
      </w:r>
      <w:r w:rsidRPr="003256F8">
        <w:rPr>
          <w:i/>
          <w:iCs/>
          <w:color w:val="auto"/>
        </w:rPr>
        <w:t xml:space="preserve">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çocuklar ve </w:t>
      </w:r>
      <w:proofErr w:type="spellStart"/>
      <w:r w:rsidRPr="003256F8">
        <w:rPr>
          <w:color w:val="auto"/>
        </w:rPr>
        <w:t>adolesanlar</w:t>
      </w:r>
      <w:proofErr w:type="spellEnd"/>
      <w:r w:rsidRPr="003256F8">
        <w:rPr>
          <w:color w:val="auto"/>
        </w:rPr>
        <w:t xml:space="preserve"> üzerindeki güvenlilik ve etkinliği saptanmamıştır. Bu nedenle 18 yaşından küçük çocuklarda kullanılması önerilmez. </w:t>
      </w:r>
    </w:p>
    <w:p w:rsidR="009877A4" w:rsidRPr="003256F8" w:rsidRDefault="007521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b/>
          <w:iCs/>
          <w:color w:val="auto"/>
        </w:rPr>
        <w:lastRenderedPageBreak/>
        <w:t>Geriyatrik</w:t>
      </w:r>
      <w:proofErr w:type="spellEnd"/>
      <w:r w:rsidRPr="003256F8">
        <w:rPr>
          <w:b/>
          <w:iCs/>
          <w:color w:val="auto"/>
        </w:rPr>
        <w:t xml:space="preserve"> </w:t>
      </w:r>
      <w:proofErr w:type="gramStart"/>
      <w:r w:rsidRPr="003256F8">
        <w:rPr>
          <w:b/>
          <w:iCs/>
          <w:color w:val="auto"/>
        </w:rPr>
        <w:t>popülasyon</w:t>
      </w:r>
      <w:proofErr w:type="gramEnd"/>
      <w:r w:rsidR="009877A4" w:rsidRPr="003256F8">
        <w:rPr>
          <w:b/>
          <w:iCs/>
          <w:color w:val="auto"/>
        </w:rPr>
        <w:t>:</w:t>
      </w:r>
      <w:r w:rsidR="009877A4" w:rsidRPr="003256F8">
        <w:rPr>
          <w:i/>
          <w:iCs/>
          <w:color w:val="auto"/>
        </w:rPr>
        <w:t xml:space="preserve"> </w:t>
      </w:r>
      <w:r w:rsidR="009877A4" w:rsidRPr="003256F8">
        <w:rPr>
          <w:color w:val="auto"/>
        </w:rPr>
        <w:t xml:space="preserve">Yapılan klinik çalışmalara göre, 65 yaş üstü hastalara önerilen doz, yukarıda anlatıldığı biçimde, günde 20 </w:t>
      </w:r>
      <w:proofErr w:type="spellStart"/>
      <w:r w:rsidR="009877A4" w:rsidRPr="003256F8">
        <w:rPr>
          <w:color w:val="auto"/>
        </w:rPr>
        <w:t>mg’dir</w:t>
      </w:r>
      <w:proofErr w:type="spellEnd"/>
      <w:r w:rsidR="009877A4" w:rsidRPr="003256F8">
        <w:rPr>
          <w:color w:val="auto"/>
        </w:rPr>
        <w:t xml:space="preserve"> (günde bir kez </w:t>
      </w:r>
      <w:r w:rsidRPr="003256F8">
        <w:rPr>
          <w:color w:val="auto"/>
        </w:rPr>
        <w:t>iki adet 10 mg film</w:t>
      </w:r>
      <w:r w:rsidR="009877A4" w:rsidRPr="003256F8">
        <w:rPr>
          <w:color w:val="auto"/>
        </w:rPr>
        <w:t xml:space="preserve"> tablet).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540" w:hanging="540"/>
        <w:jc w:val="both"/>
        <w:rPr>
          <w:color w:val="auto"/>
        </w:rPr>
      </w:pPr>
      <w:r w:rsidRPr="003256F8">
        <w:rPr>
          <w:b/>
          <w:bCs/>
          <w:color w:val="auto"/>
        </w:rPr>
        <w:t>4.3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</w:t>
      </w:r>
      <w:proofErr w:type="spellStart"/>
      <w:r w:rsidRPr="003256F8">
        <w:rPr>
          <w:b/>
          <w:bCs/>
          <w:color w:val="auto"/>
        </w:rPr>
        <w:t>Kontrendikasyonlar</w:t>
      </w:r>
      <w:proofErr w:type="spellEnd"/>
      <w:r w:rsidRPr="003256F8">
        <w:rPr>
          <w:b/>
          <w:bCs/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Etkin madde veya yardımcı maddelerden herhangi birine karşı aşırı duyarlılığı olan hastalarda </w:t>
      </w:r>
      <w:proofErr w:type="spellStart"/>
      <w:r w:rsidRPr="003256F8">
        <w:rPr>
          <w:color w:val="auto"/>
        </w:rPr>
        <w:t>kontrendikedir</w:t>
      </w:r>
      <w:proofErr w:type="spellEnd"/>
      <w:r w:rsidRPr="003256F8">
        <w:rPr>
          <w:color w:val="auto"/>
        </w:rPr>
        <w:t xml:space="preserve">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4.4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Özel kullanım uyarıları ve önlemleri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Epilepsisi, geçmişinde </w:t>
      </w:r>
      <w:proofErr w:type="spellStart"/>
      <w:r w:rsidRPr="003256F8">
        <w:rPr>
          <w:color w:val="auto"/>
        </w:rPr>
        <w:t>konvülsiyon</w:t>
      </w:r>
      <w:proofErr w:type="spellEnd"/>
      <w:r w:rsidRPr="003256F8">
        <w:rPr>
          <w:color w:val="auto"/>
        </w:rPr>
        <w:t xml:space="preserve"> öyküsü veya epilepsiye eğilimi olan h</w:t>
      </w:r>
      <w:r w:rsidR="00463FBE" w:rsidRPr="003256F8">
        <w:rPr>
          <w:color w:val="auto"/>
        </w:rPr>
        <w:t>astalarda dikkatli olunmalıdır.</w:t>
      </w:r>
    </w:p>
    <w:p w:rsidR="00463FBE" w:rsidRPr="003256F8" w:rsidRDefault="00463FBE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Amantadin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ketamin</w:t>
      </w:r>
      <w:proofErr w:type="spellEnd"/>
      <w:r w:rsidRPr="003256F8">
        <w:rPr>
          <w:color w:val="auto"/>
        </w:rPr>
        <w:t xml:space="preserve"> veya </w:t>
      </w:r>
      <w:proofErr w:type="spellStart"/>
      <w:r w:rsidRPr="003256F8">
        <w:rPr>
          <w:color w:val="auto"/>
        </w:rPr>
        <w:t>dekstrometorfan</w:t>
      </w:r>
      <w:proofErr w:type="spellEnd"/>
      <w:r w:rsidRPr="003256F8">
        <w:rPr>
          <w:color w:val="auto"/>
        </w:rPr>
        <w:t xml:space="preserve"> gibi NMDA </w:t>
      </w:r>
      <w:proofErr w:type="gramStart"/>
      <w:r w:rsidRPr="003256F8">
        <w:rPr>
          <w:color w:val="auto"/>
        </w:rPr>
        <w:t>antagonistleri</w:t>
      </w:r>
      <w:proofErr w:type="gramEnd"/>
      <w:r w:rsidRPr="003256F8">
        <w:rPr>
          <w:color w:val="auto"/>
        </w:rPr>
        <w:t xml:space="preserve"> ile birlikte kullanımından kaçınılmalıdır. Bu bileşikler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aynı reseptör sistemine etki edip, </w:t>
      </w:r>
      <w:proofErr w:type="spellStart"/>
      <w:r w:rsidRPr="003256F8">
        <w:rPr>
          <w:color w:val="auto"/>
        </w:rPr>
        <w:t>advers</w:t>
      </w:r>
      <w:proofErr w:type="spellEnd"/>
      <w:r w:rsidRPr="003256F8">
        <w:rPr>
          <w:color w:val="auto"/>
        </w:rPr>
        <w:t xml:space="preserve"> etkilerin (özellikle santral sinir sistemi ile ilişkili olanlar) daha sık ya da daha kuvvetli görülmesine sebep olabilir (</w:t>
      </w:r>
      <w:r w:rsidRPr="003256F8">
        <w:rPr>
          <w:i/>
          <w:iCs/>
          <w:color w:val="auto"/>
        </w:rPr>
        <w:t xml:space="preserve">bkz. </w:t>
      </w:r>
      <w:proofErr w:type="gramStart"/>
      <w:r w:rsidRPr="003256F8">
        <w:rPr>
          <w:i/>
          <w:iCs/>
          <w:color w:val="auto"/>
        </w:rPr>
        <w:t>4.5</w:t>
      </w:r>
      <w:proofErr w:type="gramEnd"/>
      <w:r w:rsidRPr="003256F8">
        <w:rPr>
          <w:i/>
          <w:iCs/>
          <w:color w:val="auto"/>
        </w:rPr>
        <w:t xml:space="preserve"> Diğer tıbbi ürünler ile etkileşimler ve diğer etkileşim şekilleri</w:t>
      </w:r>
      <w:r w:rsidR="005D6A30" w:rsidRPr="003256F8">
        <w:rPr>
          <w:color w:val="auto"/>
        </w:rPr>
        <w:t>).</w:t>
      </w:r>
    </w:p>
    <w:p w:rsidR="005D6A30" w:rsidRPr="003256F8" w:rsidRDefault="005D6A30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İdrar </w:t>
      </w:r>
      <w:proofErr w:type="spellStart"/>
      <w:r w:rsidRPr="003256F8">
        <w:rPr>
          <w:color w:val="auto"/>
        </w:rPr>
        <w:t>pH’sını</w:t>
      </w:r>
      <w:proofErr w:type="spellEnd"/>
      <w:r w:rsidRPr="003256F8">
        <w:rPr>
          <w:color w:val="auto"/>
        </w:rPr>
        <w:t xml:space="preserve"> yükselten faktörler var ise (</w:t>
      </w:r>
      <w:r w:rsidRPr="003256F8">
        <w:rPr>
          <w:i/>
          <w:iCs/>
          <w:color w:val="auto"/>
        </w:rPr>
        <w:t xml:space="preserve">bkz. </w:t>
      </w:r>
      <w:proofErr w:type="gramStart"/>
      <w:r w:rsidRPr="003256F8">
        <w:rPr>
          <w:i/>
          <w:iCs/>
          <w:color w:val="auto"/>
        </w:rPr>
        <w:t>5.2</w:t>
      </w:r>
      <w:proofErr w:type="gramEnd"/>
      <w:r w:rsidRPr="003256F8">
        <w:rPr>
          <w:i/>
          <w:iCs/>
          <w:color w:val="auto"/>
        </w:rPr>
        <w:t xml:space="preserve"> </w:t>
      </w:r>
      <w:r w:rsidR="005D6A30" w:rsidRPr="003256F8">
        <w:rPr>
          <w:i/>
          <w:iCs/>
          <w:color w:val="auto"/>
        </w:rPr>
        <w:t>“Eliminasyon”</w:t>
      </w:r>
      <w:r w:rsidRPr="003256F8">
        <w:rPr>
          <w:color w:val="auto"/>
        </w:rPr>
        <w:t xml:space="preserve">) hastanın dikkatli izlenmesi gerekebilir. Bu faktörler diyetteki köklü değişim (örneğin etoburluktan vejetaryen diyete geçiş gibi) veya </w:t>
      </w:r>
      <w:proofErr w:type="spellStart"/>
      <w:r w:rsidRPr="003256F8">
        <w:rPr>
          <w:color w:val="auto"/>
        </w:rPr>
        <w:t>alkalizan</w:t>
      </w:r>
      <w:proofErr w:type="spellEnd"/>
      <w:r w:rsidRPr="003256F8">
        <w:rPr>
          <w:color w:val="auto"/>
        </w:rPr>
        <w:t xml:space="preserve"> mide tamponlarının çok miktarda alınmasını içerir. İdrar </w:t>
      </w:r>
      <w:proofErr w:type="spellStart"/>
      <w:r w:rsidRPr="003256F8">
        <w:rPr>
          <w:color w:val="auto"/>
        </w:rPr>
        <w:t>pH’sı</w:t>
      </w:r>
      <w:proofErr w:type="spellEnd"/>
      <w:r w:rsidRPr="003256F8">
        <w:rPr>
          <w:color w:val="auto"/>
        </w:rPr>
        <w:t xml:space="preserve"> ayrıca </w:t>
      </w:r>
      <w:proofErr w:type="spellStart"/>
      <w:r w:rsidRPr="003256F8">
        <w:rPr>
          <w:color w:val="auto"/>
        </w:rPr>
        <w:t>renal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tübüler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asidoz</w:t>
      </w:r>
      <w:proofErr w:type="spellEnd"/>
      <w:r w:rsidRPr="003256F8">
        <w:rPr>
          <w:color w:val="auto"/>
        </w:rPr>
        <w:t xml:space="preserve"> (RTA) veya </w:t>
      </w:r>
      <w:proofErr w:type="spellStart"/>
      <w:r w:rsidRPr="003256F8">
        <w:rPr>
          <w:i/>
          <w:iCs/>
          <w:color w:val="auto"/>
        </w:rPr>
        <w:t>Proteus</w:t>
      </w:r>
      <w:proofErr w:type="spellEnd"/>
      <w:r w:rsidRPr="003256F8">
        <w:rPr>
          <w:i/>
          <w:iCs/>
          <w:color w:val="auto"/>
        </w:rPr>
        <w:t xml:space="preserve"> </w:t>
      </w:r>
      <w:proofErr w:type="spellStart"/>
      <w:r w:rsidRPr="003256F8">
        <w:rPr>
          <w:i/>
          <w:iCs/>
          <w:color w:val="auto"/>
        </w:rPr>
        <w:t>bacteria</w:t>
      </w:r>
      <w:r w:rsidRPr="003256F8">
        <w:rPr>
          <w:color w:val="auto"/>
        </w:rPr>
        <w:t>’nın</w:t>
      </w:r>
      <w:proofErr w:type="spellEnd"/>
      <w:r w:rsidRPr="003256F8">
        <w:rPr>
          <w:color w:val="auto"/>
        </w:rPr>
        <w:t xml:space="preserve"> neden olduğu ciddi </w:t>
      </w:r>
      <w:proofErr w:type="spellStart"/>
      <w:r w:rsidRPr="003256F8">
        <w:rPr>
          <w:color w:val="auto"/>
        </w:rPr>
        <w:t>üriner</w:t>
      </w:r>
      <w:proofErr w:type="spellEnd"/>
      <w:r w:rsidRPr="003256F8">
        <w:rPr>
          <w:color w:val="auto"/>
        </w:rPr>
        <w:t xml:space="preserve"> sistem </w:t>
      </w:r>
      <w:proofErr w:type="gramStart"/>
      <w:r w:rsidRPr="003256F8">
        <w:rPr>
          <w:color w:val="auto"/>
        </w:rPr>
        <w:t>enfeksiyonları</w:t>
      </w:r>
      <w:proofErr w:type="gramEnd"/>
      <w:r w:rsidRPr="003256F8">
        <w:rPr>
          <w:color w:val="auto"/>
        </w:rPr>
        <w:t xml:space="preserve"> ile de yük</w:t>
      </w:r>
      <w:r w:rsidR="005D6A30" w:rsidRPr="003256F8">
        <w:rPr>
          <w:color w:val="auto"/>
        </w:rPr>
        <w:t>selebilir.</w:t>
      </w:r>
    </w:p>
    <w:p w:rsidR="005D6A30" w:rsidRPr="003256F8" w:rsidRDefault="005D6A30" w:rsidP="00901B13">
      <w:pPr>
        <w:pStyle w:val="Default"/>
        <w:spacing w:line="360" w:lineRule="auto"/>
        <w:jc w:val="both"/>
        <w:rPr>
          <w:color w:val="auto"/>
        </w:rPr>
      </w:pPr>
    </w:p>
    <w:p w:rsidR="002F3F6A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Birçok klinik çalışmada yakın tarihte geçirilmiş </w:t>
      </w:r>
      <w:proofErr w:type="spellStart"/>
      <w:r w:rsidRPr="003256F8">
        <w:rPr>
          <w:color w:val="auto"/>
        </w:rPr>
        <w:t>miyokard</w:t>
      </w:r>
      <w:proofErr w:type="spellEnd"/>
      <w:r w:rsidRPr="003256F8">
        <w:rPr>
          <w:color w:val="auto"/>
        </w:rPr>
        <w:t xml:space="preserve"> enfarktüsü, </w:t>
      </w:r>
      <w:proofErr w:type="spellStart"/>
      <w:r w:rsidRPr="003256F8">
        <w:rPr>
          <w:color w:val="auto"/>
        </w:rPr>
        <w:t>kompanse</w:t>
      </w:r>
      <w:proofErr w:type="spellEnd"/>
      <w:r w:rsidRPr="003256F8">
        <w:rPr>
          <w:color w:val="auto"/>
        </w:rPr>
        <w:t xml:space="preserve"> edilmemiş </w:t>
      </w:r>
      <w:proofErr w:type="spellStart"/>
      <w:r w:rsidRPr="003256F8">
        <w:rPr>
          <w:color w:val="auto"/>
        </w:rPr>
        <w:t>konjestif</w:t>
      </w:r>
      <w:proofErr w:type="spellEnd"/>
      <w:r w:rsidRPr="003256F8">
        <w:rPr>
          <w:color w:val="auto"/>
        </w:rPr>
        <w:t xml:space="preserve"> kalp yetmezliği (New York Kalp Cemiyeti (NYHA) endeks III-IV) veya kontrol altında olmayan hipertansiyonlu hastalar çalışma dışı bırakılmıştır. Sonuç olarak, sınırlı veri mevcut olduğundan bu durumdaki hastalar yakın gözlem altında bulundurulmalıdır.</w:t>
      </w:r>
    </w:p>
    <w:p w:rsidR="002F3F6A" w:rsidRPr="003256F8" w:rsidRDefault="002F3F6A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BF3585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XEİMER</w:t>
      </w:r>
      <w:r w:rsidR="009877A4" w:rsidRPr="003256F8">
        <w:rPr>
          <w:color w:val="auto"/>
        </w:rPr>
        <w:t xml:space="preserve"> 10 mg film tabletler, yardımcı madde olarak laktoz</w:t>
      </w:r>
      <w:r w:rsidR="002F3F6A" w:rsidRPr="003256F8">
        <w:rPr>
          <w:color w:val="auto"/>
        </w:rPr>
        <w:t xml:space="preserve"> </w:t>
      </w:r>
      <w:proofErr w:type="spellStart"/>
      <w:r w:rsidR="002F3F6A" w:rsidRPr="003256F8">
        <w:rPr>
          <w:color w:val="auto"/>
        </w:rPr>
        <w:t>monohidrat</w:t>
      </w:r>
      <w:proofErr w:type="spellEnd"/>
      <w:r w:rsidR="009877A4" w:rsidRPr="003256F8">
        <w:rPr>
          <w:color w:val="auto"/>
        </w:rPr>
        <w:t xml:space="preserve"> içerir. </w:t>
      </w:r>
      <w:proofErr w:type="spellStart"/>
      <w:r w:rsidR="009877A4" w:rsidRPr="003256F8">
        <w:rPr>
          <w:color w:val="auto"/>
        </w:rPr>
        <w:t>Galaktoz</w:t>
      </w:r>
      <w:proofErr w:type="spellEnd"/>
      <w:r w:rsidR="009877A4" w:rsidRPr="003256F8">
        <w:rPr>
          <w:color w:val="auto"/>
        </w:rPr>
        <w:t xml:space="preserve"> </w:t>
      </w:r>
      <w:proofErr w:type="spellStart"/>
      <w:r w:rsidR="009877A4" w:rsidRPr="003256F8">
        <w:rPr>
          <w:color w:val="auto"/>
        </w:rPr>
        <w:t>intoleransı</w:t>
      </w:r>
      <w:proofErr w:type="spellEnd"/>
      <w:r w:rsidR="009877A4" w:rsidRPr="003256F8">
        <w:rPr>
          <w:color w:val="auto"/>
        </w:rPr>
        <w:t xml:space="preserve">, </w:t>
      </w:r>
      <w:proofErr w:type="spellStart"/>
      <w:r w:rsidR="009877A4" w:rsidRPr="003256F8">
        <w:rPr>
          <w:color w:val="auto"/>
        </w:rPr>
        <w:t>Lapp</w:t>
      </w:r>
      <w:proofErr w:type="spellEnd"/>
      <w:r w:rsidR="009877A4" w:rsidRPr="003256F8">
        <w:rPr>
          <w:color w:val="auto"/>
        </w:rPr>
        <w:t xml:space="preserve"> </w:t>
      </w:r>
      <w:proofErr w:type="gramStart"/>
      <w:r w:rsidR="009877A4" w:rsidRPr="003256F8">
        <w:rPr>
          <w:color w:val="auto"/>
        </w:rPr>
        <w:t>laktaz</w:t>
      </w:r>
      <w:proofErr w:type="gramEnd"/>
      <w:r w:rsidR="009877A4" w:rsidRPr="003256F8">
        <w:rPr>
          <w:color w:val="auto"/>
        </w:rPr>
        <w:t xml:space="preserve"> yetmezliği veya glikoz-</w:t>
      </w:r>
      <w:proofErr w:type="spellStart"/>
      <w:r w:rsidR="009877A4" w:rsidRPr="003256F8">
        <w:rPr>
          <w:color w:val="auto"/>
        </w:rPr>
        <w:t>galaktoz</w:t>
      </w:r>
      <w:proofErr w:type="spellEnd"/>
      <w:r w:rsidR="009877A4" w:rsidRPr="003256F8">
        <w:rPr>
          <w:color w:val="auto"/>
        </w:rPr>
        <w:t xml:space="preserve"> </w:t>
      </w:r>
      <w:proofErr w:type="spellStart"/>
      <w:r w:rsidR="009877A4" w:rsidRPr="003256F8">
        <w:rPr>
          <w:color w:val="auto"/>
        </w:rPr>
        <w:t>malabsorpsiyonu</w:t>
      </w:r>
      <w:proofErr w:type="spellEnd"/>
      <w:r w:rsidR="009877A4" w:rsidRPr="003256F8">
        <w:rPr>
          <w:color w:val="auto"/>
        </w:rPr>
        <w:t xml:space="preserve"> gibi seyrek görülen kalıtsal sorunları olan hastalar bu ilacı almamalıdır.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5D6A30" w:rsidRPr="003256F8" w:rsidRDefault="005D6A30" w:rsidP="00901B13">
      <w:pPr>
        <w:pStyle w:val="Default"/>
        <w:spacing w:line="360" w:lineRule="auto"/>
        <w:jc w:val="both"/>
        <w:rPr>
          <w:color w:val="auto"/>
        </w:rPr>
      </w:pPr>
    </w:p>
    <w:p w:rsidR="005D6A30" w:rsidRPr="003256F8" w:rsidRDefault="005D6A30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lastRenderedPageBreak/>
        <w:t>4.5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Diğer tıbbi ürünler ile etkileşimler ve diğer etkileşim şekilleri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farmakolojik etkileri ve etki mekanizması nedeni ile aşağıdaki etkileşmeler oluşabilir: </w:t>
      </w:r>
    </w:p>
    <w:p w:rsidR="009877A4" w:rsidRPr="003256F8" w:rsidRDefault="009877A4" w:rsidP="005D6A30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auto"/>
        </w:rPr>
      </w:pP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etki şekli sebebiyle; L-</w:t>
      </w:r>
      <w:proofErr w:type="spellStart"/>
      <w:r w:rsidRPr="003256F8">
        <w:rPr>
          <w:color w:val="auto"/>
        </w:rPr>
        <w:t>dopa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dopaminerjik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agonistler</w:t>
      </w:r>
      <w:proofErr w:type="spellEnd"/>
      <w:r w:rsidRPr="003256F8">
        <w:rPr>
          <w:color w:val="auto"/>
        </w:rPr>
        <w:t xml:space="preserve"> ve </w:t>
      </w:r>
      <w:proofErr w:type="spellStart"/>
      <w:r w:rsidRPr="003256F8">
        <w:rPr>
          <w:color w:val="auto"/>
        </w:rPr>
        <w:t>antikolinerjiklerin</w:t>
      </w:r>
      <w:proofErr w:type="spellEnd"/>
      <w:r w:rsidRPr="003256F8">
        <w:rPr>
          <w:color w:val="auto"/>
        </w:rPr>
        <w:t xml:space="preserve"> etkileri,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gibi NMDA </w:t>
      </w:r>
      <w:proofErr w:type="gramStart"/>
      <w:r w:rsidRPr="003256F8">
        <w:rPr>
          <w:color w:val="auto"/>
        </w:rPr>
        <w:t>antagonistleri</w:t>
      </w:r>
      <w:proofErr w:type="gramEnd"/>
      <w:r w:rsidRPr="003256F8">
        <w:rPr>
          <w:color w:val="auto"/>
        </w:rPr>
        <w:t xml:space="preserve"> ile birlikte kullanıldığında artabilir. </w:t>
      </w:r>
      <w:proofErr w:type="spellStart"/>
      <w:r w:rsidRPr="003256F8">
        <w:rPr>
          <w:color w:val="auto"/>
        </w:rPr>
        <w:t>Barbitüratların</w:t>
      </w:r>
      <w:proofErr w:type="spellEnd"/>
      <w:r w:rsidRPr="003256F8">
        <w:rPr>
          <w:color w:val="auto"/>
        </w:rPr>
        <w:t xml:space="preserve"> ve </w:t>
      </w:r>
      <w:proofErr w:type="spellStart"/>
      <w:r w:rsidRPr="003256F8">
        <w:rPr>
          <w:color w:val="auto"/>
        </w:rPr>
        <w:t>nöroleptiklerin</w:t>
      </w:r>
      <w:proofErr w:type="spellEnd"/>
      <w:r w:rsidRPr="003256F8">
        <w:rPr>
          <w:color w:val="auto"/>
        </w:rPr>
        <w:t xml:space="preserve"> etkilerini azaltabilir.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antispazmodik</w:t>
      </w:r>
      <w:proofErr w:type="spellEnd"/>
      <w:r w:rsidRPr="003256F8">
        <w:rPr>
          <w:color w:val="auto"/>
        </w:rPr>
        <w:t xml:space="preserve"> ajanlar, </w:t>
      </w:r>
      <w:proofErr w:type="spellStart"/>
      <w:r w:rsidRPr="003256F8">
        <w:rPr>
          <w:color w:val="auto"/>
        </w:rPr>
        <w:t>dantrolen</w:t>
      </w:r>
      <w:proofErr w:type="spellEnd"/>
      <w:r w:rsidRPr="003256F8">
        <w:rPr>
          <w:color w:val="auto"/>
        </w:rPr>
        <w:t xml:space="preserve"> veya </w:t>
      </w:r>
      <w:proofErr w:type="spellStart"/>
      <w:r w:rsidRPr="003256F8">
        <w:rPr>
          <w:color w:val="auto"/>
        </w:rPr>
        <w:t>baklofen</w:t>
      </w:r>
      <w:proofErr w:type="spellEnd"/>
      <w:r w:rsidRPr="003256F8">
        <w:rPr>
          <w:color w:val="auto"/>
        </w:rPr>
        <w:t xml:space="preserve"> ile birlikte kullanımı; etkilerini </w:t>
      </w:r>
      <w:proofErr w:type="spellStart"/>
      <w:r w:rsidRPr="003256F8">
        <w:rPr>
          <w:color w:val="auto"/>
        </w:rPr>
        <w:t>modifiye</w:t>
      </w:r>
      <w:proofErr w:type="spellEnd"/>
      <w:r w:rsidRPr="003256F8">
        <w:rPr>
          <w:color w:val="auto"/>
        </w:rPr>
        <w:t xml:space="preserve"> edebilir ve</w:t>
      </w:r>
      <w:r w:rsidR="005D6A30" w:rsidRPr="003256F8">
        <w:rPr>
          <w:color w:val="auto"/>
        </w:rPr>
        <w:t xml:space="preserve"> doz ayarlaması gerektirebilir.</w:t>
      </w:r>
    </w:p>
    <w:p w:rsidR="009877A4" w:rsidRPr="003256F8" w:rsidRDefault="009877A4" w:rsidP="00901B1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auto"/>
        </w:rPr>
      </w:pPr>
      <w:proofErr w:type="spellStart"/>
      <w:r w:rsidRPr="003256F8">
        <w:rPr>
          <w:color w:val="auto"/>
        </w:rPr>
        <w:t>Farmakotoksik</w:t>
      </w:r>
      <w:proofErr w:type="spellEnd"/>
      <w:r w:rsidRPr="003256F8">
        <w:rPr>
          <w:color w:val="auto"/>
        </w:rPr>
        <w:t xml:space="preserve"> psikoz riski nedeni ile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amantadin</w:t>
      </w:r>
      <w:proofErr w:type="spellEnd"/>
      <w:r w:rsidRPr="003256F8">
        <w:rPr>
          <w:color w:val="auto"/>
        </w:rPr>
        <w:t xml:space="preserve"> ile birlikte kullanımından kaçınılmalıdır. Her iki madde de NMDA–</w:t>
      </w:r>
      <w:proofErr w:type="gramStart"/>
      <w:r w:rsidRPr="003256F8">
        <w:rPr>
          <w:color w:val="auto"/>
        </w:rPr>
        <w:t>antagonistidir</w:t>
      </w:r>
      <w:proofErr w:type="gramEnd"/>
      <w:r w:rsidRPr="003256F8">
        <w:rPr>
          <w:color w:val="auto"/>
        </w:rPr>
        <w:t xml:space="preserve">. Aynı yaklaşım </w:t>
      </w:r>
      <w:proofErr w:type="spellStart"/>
      <w:r w:rsidRPr="003256F8">
        <w:rPr>
          <w:color w:val="auto"/>
        </w:rPr>
        <w:t>ketamin</w:t>
      </w:r>
      <w:proofErr w:type="spellEnd"/>
      <w:r w:rsidRPr="003256F8">
        <w:rPr>
          <w:color w:val="auto"/>
        </w:rPr>
        <w:t xml:space="preserve"> ve </w:t>
      </w:r>
      <w:proofErr w:type="spellStart"/>
      <w:r w:rsidRPr="003256F8">
        <w:rPr>
          <w:color w:val="auto"/>
        </w:rPr>
        <w:t>dekstrometorfan</w:t>
      </w:r>
      <w:proofErr w:type="spellEnd"/>
      <w:r w:rsidRPr="003256F8">
        <w:rPr>
          <w:color w:val="auto"/>
        </w:rPr>
        <w:t xml:space="preserve"> için de geçerli olabilir (</w:t>
      </w:r>
      <w:r w:rsidRPr="003256F8">
        <w:rPr>
          <w:i/>
          <w:color w:val="auto"/>
        </w:rPr>
        <w:t xml:space="preserve">bkz. </w:t>
      </w:r>
      <w:proofErr w:type="gramStart"/>
      <w:r w:rsidRPr="003256F8">
        <w:rPr>
          <w:i/>
          <w:color w:val="auto"/>
        </w:rPr>
        <w:t>4.4</w:t>
      </w:r>
      <w:proofErr w:type="gramEnd"/>
      <w:r w:rsidRPr="003256F8">
        <w:rPr>
          <w:i/>
          <w:color w:val="auto"/>
        </w:rPr>
        <w:t xml:space="preserve"> Özel kullanım uyarıları ve önlemleri</w:t>
      </w:r>
      <w:r w:rsidRPr="003256F8">
        <w:rPr>
          <w:color w:val="auto"/>
        </w:rPr>
        <w:t xml:space="preserve">).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ve </w:t>
      </w:r>
      <w:proofErr w:type="spellStart"/>
      <w:r w:rsidRPr="003256F8">
        <w:rPr>
          <w:color w:val="auto"/>
        </w:rPr>
        <w:t>fenitoinin</w:t>
      </w:r>
      <w:proofErr w:type="spellEnd"/>
      <w:r w:rsidRPr="003256F8">
        <w:rPr>
          <w:color w:val="auto"/>
        </w:rPr>
        <w:t xml:space="preserve"> kombine kullanımının olası riskine ilişkin yayınlanmış bir tane vaka raporu bulunmaktadır. </w:t>
      </w:r>
    </w:p>
    <w:p w:rsidR="009877A4" w:rsidRPr="003256F8" w:rsidRDefault="009877A4" w:rsidP="00901B1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auto"/>
        </w:rPr>
      </w:pPr>
      <w:proofErr w:type="spellStart"/>
      <w:r w:rsidRPr="003256F8">
        <w:rPr>
          <w:color w:val="auto"/>
        </w:rPr>
        <w:t>Ama</w:t>
      </w:r>
      <w:r w:rsidR="007521A4" w:rsidRPr="003256F8">
        <w:rPr>
          <w:color w:val="auto"/>
        </w:rPr>
        <w:t>ntadin</w:t>
      </w:r>
      <w:proofErr w:type="spellEnd"/>
      <w:r w:rsidR="007521A4" w:rsidRPr="003256F8">
        <w:rPr>
          <w:color w:val="auto"/>
        </w:rPr>
        <w:t xml:space="preserve"> ile aynı </w:t>
      </w:r>
      <w:proofErr w:type="spellStart"/>
      <w:r w:rsidR="007521A4" w:rsidRPr="003256F8">
        <w:rPr>
          <w:color w:val="auto"/>
        </w:rPr>
        <w:t>renal</w:t>
      </w:r>
      <w:proofErr w:type="spellEnd"/>
      <w:r w:rsidR="007521A4" w:rsidRPr="003256F8">
        <w:rPr>
          <w:color w:val="auto"/>
        </w:rPr>
        <w:t xml:space="preserve"> </w:t>
      </w:r>
      <w:proofErr w:type="spellStart"/>
      <w:r w:rsidR="007521A4" w:rsidRPr="003256F8">
        <w:rPr>
          <w:color w:val="auto"/>
        </w:rPr>
        <w:t>katyonik</w:t>
      </w:r>
      <w:proofErr w:type="spellEnd"/>
      <w:r w:rsidR="007521A4" w:rsidRPr="003256F8">
        <w:rPr>
          <w:color w:val="auto"/>
        </w:rPr>
        <w:t xml:space="preserve"> taşıyıcı</w:t>
      </w:r>
      <w:r w:rsidRPr="003256F8">
        <w:rPr>
          <w:color w:val="auto"/>
        </w:rPr>
        <w:t xml:space="preserve"> sistemini kullanan </w:t>
      </w:r>
      <w:proofErr w:type="spellStart"/>
      <w:r w:rsidRPr="003256F8">
        <w:rPr>
          <w:color w:val="auto"/>
        </w:rPr>
        <w:t>simetidin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ranitidin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prokainamid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kinidin</w:t>
      </w:r>
      <w:proofErr w:type="spellEnd"/>
      <w:r w:rsidRPr="003256F8">
        <w:rPr>
          <w:color w:val="auto"/>
        </w:rPr>
        <w:t xml:space="preserve">, kinin ve nikotin de muhtemel olarak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etkileşip, plazma düzeyinde artış riski oluşturabilir. </w:t>
      </w:r>
    </w:p>
    <w:p w:rsidR="009877A4" w:rsidRPr="003256F8" w:rsidRDefault="009877A4" w:rsidP="00901B1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auto"/>
        </w:rPr>
      </w:pP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hidroklorotiazid</w:t>
      </w:r>
      <w:proofErr w:type="spellEnd"/>
      <w:r w:rsidRPr="003256F8">
        <w:rPr>
          <w:color w:val="auto"/>
        </w:rPr>
        <w:t xml:space="preserve"> (HCT) veya </w:t>
      </w:r>
      <w:proofErr w:type="spellStart"/>
      <w:r w:rsidRPr="003256F8">
        <w:rPr>
          <w:color w:val="auto"/>
        </w:rPr>
        <w:t>HCT’li</w:t>
      </w:r>
      <w:proofErr w:type="spellEnd"/>
      <w:r w:rsidRPr="003256F8">
        <w:rPr>
          <w:color w:val="auto"/>
        </w:rPr>
        <w:t xml:space="preserve"> herhangi bir </w:t>
      </w:r>
      <w:proofErr w:type="gramStart"/>
      <w:r w:rsidRPr="003256F8">
        <w:rPr>
          <w:color w:val="auto"/>
        </w:rPr>
        <w:t>kombinasyon</w:t>
      </w:r>
      <w:proofErr w:type="gramEnd"/>
      <w:r w:rsidRPr="003256F8">
        <w:rPr>
          <w:color w:val="auto"/>
        </w:rPr>
        <w:t xml:space="preserve"> ile birlikte kullanılırsa, HCT serum seviyesinde azalma muhtemeldir. </w:t>
      </w:r>
    </w:p>
    <w:p w:rsidR="009877A4" w:rsidRPr="003256F8" w:rsidRDefault="009877A4" w:rsidP="00901B1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auto"/>
        </w:rPr>
      </w:pPr>
      <w:r w:rsidRPr="003256F8">
        <w:rPr>
          <w:color w:val="auto"/>
        </w:rPr>
        <w:t xml:space="preserve">Pazarlama sonrası deneyimlerde varfarin ile birlikte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kullanan hastalarda INR (Uluslararası </w:t>
      </w:r>
      <w:proofErr w:type="spellStart"/>
      <w:r w:rsidRPr="003256F8">
        <w:rPr>
          <w:color w:val="auto"/>
        </w:rPr>
        <w:t>normalize</w:t>
      </w:r>
      <w:proofErr w:type="spellEnd"/>
      <w:r w:rsidRPr="003256F8">
        <w:rPr>
          <w:color w:val="auto"/>
        </w:rPr>
        <w:t xml:space="preserve"> edilmiş oran) artışı olan izole durumlar rapor edilmiştir. Nedensel bir ilişki kurulmamış olsa da oral </w:t>
      </w:r>
      <w:proofErr w:type="spellStart"/>
      <w:r w:rsidRPr="003256F8">
        <w:rPr>
          <w:color w:val="auto"/>
        </w:rPr>
        <w:t>antikoagülanlarla</w:t>
      </w:r>
      <w:proofErr w:type="spellEnd"/>
      <w:r w:rsidRPr="003256F8">
        <w:rPr>
          <w:color w:val="auto"/>
        </w:rPr>
        <w:t xml:space="preserve"> birlikte tedavi edilen hastalar için </w:t>
      </w:r>
      <w:proofErr w:type="spellStart"/>
      <w:r w:rsidRPr="003256F8">
        <w:rPr>
          <w:color w:val="auto"/>
        </w:rPr>
        <w:t>protrombin</w:t>
      </w:r>
      <w:proofErr w:type="spellEnd"/>
      <w:r w:rsidRPr="003256F8">
        <w:rPr>
          <w:color w:val="auto"/>
        </w:rPr>
        <w:t xml:space="preserve"> zamanının veya </w:t>
      </w:r>
      <w:proofErr w:type="spellStart"/>
      <w:r w:rsidRPr="003256F8">
        <w:rPr>
          <w:color w:val="auto"/>
        </w:rPr>
        <w:t>INR’nin</w:t>
      </w:r>
      <w:proofErr w:type="spellEnd"/>
      <w:r w:rsidRPr="003256F8">
        <w:rPr>
          <w:color w:val="auto"/>
        </w:rPr>
        <w:t xml:space="preserve"> yakından izlenmesi tavsiye edilmektedir. </w:t>
      </w:r>
    </w:p>
    <w:p w:rsidR="009877A4" w:rsidRPr="003256F8" w:rsidRDefault="009877A4" w:rsidP="00901B1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auto"/>
        </w:rPr>
      </w:pPr>
      <w:r w:rsidRPr="003256F8">
        <w:rPr>
          <w:color w:val="auto"/>
        </w:rPr>
        <w:t xml:space="preserve">Karbonik </w:t>
      </w:r>
      <w:proofErr w:type="spellStart"/>
      <w:r w:rsidRPr="003256F8">
        <w:rPr>
          <w:color w:val="auto"/>
        </w:rPr>
        <w:t>anhidraz</w:t>
      </w:r>
      <w:proofErr w:type="spellEnd"/>
      <w:r w:rsidRPr="003256F8">
        <w:rPr>
          <w:color w:val="auto"/>
        </w:rPr>
        <w:t xml:space="preserve"> inhibitörleri ve sodyum bikarbonat ile kullanımında </w:t>
      </w:r>
      <w:proofErr w:type="spellStart"/>
      <w:r w:rsidRPr="003256F8">
        <w:rPr>
          <w:color w:val="auto"/>
        </w:rPr>
        <w:t>klerens</w:t>
      </w:r>
      <w:proofErr w:type="spellEnd"/>
      <w:r w:rsidRPr="003256F8">
        <w:rPr>
          <w:color w:val="auto"/>
        </w:rPr>
        <w:t xml:space="preserve"> düşebilir. </w:t>
      </w:r>
    </w:p>
    <w:p w:rsidR="009877A4" w:rsidRPr="003256F8" w:rsidRDefault="009877A4" w:rsidP="00901B13">
      <w:pPr>
        <w:pStyle w:val="Default"/>
        <w:spacing w:line="360" w:lineRule="auto"/>
        <w:ind w:left="1080" w:hanging="360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Sağlıklı genç gönüllülerde yürütülen tek-doz </w:t>
      </w:r>
      <w:proofErr w:type="spellStart"/>
      <w:r w:rsidRPr="003256F8">
        <w:rPr>
          <w:color w:val="auto"/>
        </w:rPr>
        <w:t>farmakokinetik</w:t>
      </w:r>
      <w:proofErr w:type="spellEnd"/>
      <w:r w:rsidRPr="003256F8">
        <w:rPr>
          <w:color w:val="auto"/>
        </w:rPr>
        <w:t xml:space="preserve"> çalışmalarında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</w:t>
      </w:r>
      <w:proofErr w:type="spellStart"/>
      <w:r w:rsidRPr="003256F8">
        <w:rPr>
          <w:color w:val="auto"/>
        </w:rPr>
        <w:t>gliburid</w:t>
      </w:r>
      <w:proofErr w:type="spellEnd"/>
      <w:r w:rsidRPr="003256F8">
        <w:rPr>
          <w:color w:val="auto"/>
        </w:rPr>
        <w:t>/</w:t>
      </w:r>
      <w:proofErr w:type="spellStart"/>
      <w:r w:rsidRPr="003256F8">
        <w:rPr>
          <w:color w:val="auto"/>
        </w:rPr>
        <w:t>metformin</w:t>
      </w:r>
      <w:proofErr w:type="spellEnd"/>
      <w:r w:rsidRPr="003256F8">
        <w:rPr>
          <w:color w:val="auto"/>
        </w:rPr>
        <w:t xml:space="preserve"> </w:t>
      </w:r>
      <w:proofErr w:type="gramStart"/>
      <w:r w:rsidRPr="003256F8">
        <w:rPr>
          <w:color w:val="auto"/>
        </w:rPr>
        <w:t>kombinasyonu</w:t>
      </w:r>
      <w:proofErr w:type="gramEnd"/>
      <w:r w:rsidRPr="003256F8">
        <w:rPr>
          <w:color w:val="auto"/>
        </w:rPr>
        <w:t xml:space="preserve"> veya </w:t>
      </w:r>
      <w:proofErr w:type="spellStart"/>
      <w:r w:rsidRPr="003256F8">
        <w:rPr>
          <w:color w:val="auto"/>
        </w:rPr>
        <w:t>donezepil</w:t>
      </w:r>
      <w:proofErr w:type="spellEnd"/>
      <w:r w:rsidRPr="003256F8">
        <w:rPr>
          <w:color w:val="auto"/>
        </w:rPr>
        <w:t xml:space="preserve"> arasında anlamlı bir </w:t>
      </w:r>
      <w:r w:rsidR="0043236C" w:rsidRPr="003256F8">
        <w:rPr>
          <w:color w:val="auto"/>
        </w:rPr>
        <w:t>ilaç etkileşimi gözlenmemiştir.</w:t>
      </w:r>
    </w:p>
    <w:p w:rsidR="0043236C" w:rsidRPr="003256F8" w:rsidRDefault="0043236C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Sağlıklı genç gönüllülerde yürütülen bir klinik çalışmada,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galantamin</w:t>
      </w:r>
      <w:proofErr w:type="spellEnd"/>
      <w:r w:rsidRPr="003256F8">
        <w:rPr>
          <w:color w:val="auto"/>
        </w:rPr>
        <w:t xml:space="preserve"> farmakokinetiği üzerinde hiçbir anlamlı etkisi gözlenmemiştir.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; CYP1A2, 2A6, 2C9, 2D6, 2E1, 3A, </w:t>
      </w:r>
      <w:proofErr w:type="spellStart"/>
      <w:r w:rsidRPr="003256F8">
        <w:rPr>
          <w:color w:val="auto"/>
        </w:rPr>
        <w:t>flavin</w:t>
      </w:r>
      <w:proofErr w:type="spellEnd"/>
      <w:r w:rsidRPr="003256F8">
        <w:rPr>
          <w:color w:val="auto"/>
        </w:rPr>
        <w:t xml:space="preserve"> içeren </w:t>
      </w:r>
      <w:proofErr w:type="spellStart"/>
      <w:r w:rsidRPr="003256F8">
        <w:rPr>
          <w:color w:val="auto"/>
        </w:rPr>
        <w:t>monoksijenaz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epoksit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hidrolaz</w:t>
      </w:r>
      <w:proofErr w:type="spellEnd"/>
      <w:r w:rsidRPr="003256F8">
        <w:rPr>
          <w:color w:val="auto"/>
        </w:rPr>
        <w:t xml:space="preserve"> veya </w:t>
      </w:r>
      <w:proofErr w:type="spellStart"/>
      <w:r w:rsidRPr="003256F8">
        <w:rPr>
          <w:color w:val="auto"/>
        </w:rPr>
        <w:t>sülfasyonu</w:t>
      </w:r>
      <w:proofErr w:type="spellEnd"/>
      <w:r w:rsidRPr="003256F8">
        <w:rPr>
          <w:color w:val="auto"/>
        </w:rPr>
        <w:t xml:space="preserve"> </w:t>
      </w:r>
      <w:r w:rsidRPr="003256F8">
        <w:rPr>
          <w:i/>
          <w:iCs/>
          <w:color w:val="auto"/>
        </w:rPr>
        <w:t xml:space="preserve">in </w:t>
      </w:r>
      <w:proofErr w:type="spellStart"/>
      <w:r w:rsidRPr="003256F8">
        <w:rPr>
          <w:i/>
          <w:iCs/>
          <w:color w:val="auto"/>
        </w:rPr>
        <w:t>vitro</w:t>
      </w:r>
      <w:proofErr w:type="spellEnd"/>
      <w:r w:rsidRPr="003256F8">
        <w:rPr>
          <w:i/>
          <w:iCs/>
          <w:color w:val="auto"/>
        </w:rPr>
        <w:t xml:space="preserve"> </w:t>
      </w:r>
      <w:r w:rsidRPr="003256F8">
        <w:rPr>
          <w:color w:val="auto"/>
        </w:rPr>
        <w:t xml:space="preserve">olarak </w:t>
      </w:r>
      <w:proofErr w:type="spellStart"/>
      <w:r w:rsidRPr="003256F8">
        <w:rPr>
          <w:color w:val="auto"/>
        </w:rPr>
        <w:t>inhibe</w:t>
      </w:r>
      <w:proofErr w:type="spellEnd"/>
      <w:r w:rsidRPr="003256F8">
        <w:rPr>
          <w:color w:val="auto"/>
        </w:rPr>
        <w:t xml:space="preserve"> etmemiştir. </w:t>
      </w:r>
    </w:p>
    <w:p w:rsidR="007521A4" w:rsidRPr="003256F8" w:rsidRDefault="007521A4" w:rsidP="00901B13">
      <w:pPr>
        <w:pStyle w:val="Default"/>
        <w:spacing w:line="360" w:lineRule="auto"/>
        <w:ind w:left="360" w:hanging="360"/>
        <w:jc w:val="both"/>
        <w:rPr>
          <w:b/>
          <w:bCs/>
          <w:color w:val="auto"/>
        </w:rPr>
      </w:pPr>
      <w:r w:rsidRPr="003256F8">
        <w:rPr>
          <w:b/>
          <w:bCs/>
          <w:color w:val="auto"/>
        </w:rPr>
        <w:lastRenderedPageBreak/>
        <w:t xml:space="preserve">Özel </w:t>
      </w:r>
      <w:proofErr w:type="gramStart"/>
      <w:r w:rsidRPr="003256F8">
        <w:rPr>
          <w:b/>
          <w:bCs/>
          <w:color w:val="auto"/>
        </w:rPr>
        <w:t>popülasyonlara</w:t>
      </w:r>
      <w:proofErr w:type="gramEnd"/>
      <w:r w:rsidRPr="003256F8">
        <w:rPr>
          <w:b/>
          <w:bCs/>
          <w:color w:val="auto"/>
        </w:rPr>
        <w:t xml:space="preserve"> ilişkin ek bilgiler:</w:t>
      </w:r>
    </w:p>
    <w:p w:rsidR="007521A4" w:rsidRPr="003256F8" w:rsidRDefault="007521A4" w:rsidP="00901B13">
      <w:pPr>
        <w:pStyle w:val="Default"/>
        <w:spacing w:line="360" w:lineRule="auto"/>
        <w:ind w:left="360" w:hanging="360"/>
        <w:jc w:val="both"/>
        <w:rPr>
          <w:bCs/>
          <w:color w:val="auto"/>
        </w:rPr>
      </w:pPr>
      <w:r w:rsidRPr="003256F8">
        <w:rPr>
          <w:bCs/>
          <w:color w:val="auto"/>
        </w:rPr>
        <w:t>Etkileşim çalışması yapılmamıştır.</w:t>
      </w:r>
    </w:p>
    <w:p w:rsidR="007521A4" w:rsidRPr="003256F8" w:rsidRDefault="007521A4" w:rsidP="00901B13">
      <w:pPr>
        <w:pStyle w:val="Default"/>
        <w:spacing w:line="360" w:lineRule="auto"/>
        <w:ind w:left="360" w:hanging="360"/>
        <w:jc w:val="both"/>
        <w:rPr>
          <w:b/>
          <w:bCs/>
          <w:color w:val="auto"/>
        </w:rPr>
      </w:pPr>
      <w:r w:rsidRPr="003256F8">
        <w:rPr>
          <w:b/>
          <w:bCs/>
          <w:color w:val="auto"/>
        </w:rPr>
        <w:t xml:space="preserve">Pediyatrik </w:t>
      </w:r>
      <w:proofErr w:type="gramStart"/>
      <w:r w:rsidRPr="003256F8">
        <w:rPr>
          <w:b/>
          <w:bCs/>
          <w:color w:val="auto"/>
        </w:rPr>
        <w:t>popülasyon</w:t>
      </w:r>
      <w:proofErr w:type="gramEnd"/>
      <w:r w:rsidRPr="003256F8">
        <w:rPr>
          <w:b/>
          <w:bCs/>
          <w:color w:val="auto"/>
        </w:rPr>
        <w:t>:</w:t>
      </w:r>
    </w:p>
    <w:p w:rsidR="007521A4" w:rsidRPr="003256F8" w:rsidRDefault="007521A4" w:rsidP="00901B13">
      <w:pPr>
        <w:pStyle w:val="Default"/>
        <w:spacing w:line="360" w:lineRule="auto"/>
        <w:rPr>
          <w:bCs/>
          <w:color w:val="auto"/>
        </w:rPr>
      </w:pPr>
      <w:r w:rsidRPr="003256F8">
        <w:rPr>
          <w:bCs/>
          <w:color w:val="auto"/>
        </w:rPr>
        <w:t>Etkileşim çalışması yapılmamıştır.</w:t>
      </w:r>
    </w:p>
    <w:p w:rsidR="007521A4" w:rsidRPr="003256F8" w:rsidRDefault="007521A4" w:rsidP="00901B13">
      <w:pPr>
        <w:pStyle w:val="Default"/>
        <w:spacing w:line="360" w:lineRule="auto"/>
        <w:ind w:left="360" w:hanging="360"/>
        <w:jc w:val="both"/>
        <w:rPr>
          <w:b/>
          <w:bCs/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4.6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Gebelik ve laktasyon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 xml:space="preserve">Genel tavsiye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Gebelik kategorisi “C” </w:t>
      </w:r>
      <w:proofErr w:type="spellStart"/>
      <w:r w:rsidRPr="003256F8">
        <w:rPr>
          <w:color w:val="auto"/>
        </w:rPr>
        <w:t>dir</w:t>
      </w:r>
      <w:proofErr w:type="spellEnd"/>
      <w:r w:rsidRPr="003256F8">
        <w:rPr>
          <w:color w:val="auto"/>
        </w:rPr>
        <w:t xml:space="preserve">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>Çocuk doğurma potansiyeli bulunan kadınlar/Doğum kontrolü (</w:t>
      </w:r>
      <w:proofErr w:type="spellStart"/>
      <w:r w:rsidRPr="003256F8">
        <w:rPr>
          <w:b/>
          <w:bCs/>
          <w:color w:val="auto"/>
        </w:rPr>
        <w:t>kontrasepsiyon</w:t>
      </w:r>
      <w:proofErr w:type="spellEnd"/>
      <w:r w:rsidRPr="003256F8">
        <w:rPr>
          <w:b/>
          <w:bCs/>
          <w:color w:val="auto"/>
        </w:rPr>
        <w:t xml:space="preserve">) </w:t>
      </w:r>
    </w:p>
    <w:p w:rsidR="008B2035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gebelikte kullanımına ilişki</w:t>
      </w:r>
      <w:r w:rsidR="007521A4" w:rsidRPr="003256F8">
        <w:rPr>
          <w:color w:val="auto"/>
        </w:rPr>
        <w:t>n klinik bilgi mevcut değildir.</w:t>
      </w:r>
    </w:p>
    <w:p w:rsidR="007521A4" w:rsidRPr="003256F8" w:rsidRDefault="007521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Hayvanlar üzerinde yapılan çalışmalar, gebelik /ve-veya/ </w:t>
      </w:r>
      <w:proofErr w:type="spellStart"/>
      <w:r w:rsidRPr="003256F8">
        <w:rPr>
          <w:color w:val="auto"/>
        </w:rPr>
        <w:t>embriyonal</w:t>
      </w:r>
      <w:proofErr w:type="spellEnd"/>
      <w:r w:rsidRPr="003256F8">
        <w:rPr>
          <w:color w:val="auto"/>
        </w:rPr>
        <w:t>/</w:t>
      </w:r>
      <w:proofErr w:type="spellStart"/>
      <w:r w:rsidRPr="003256F8">
        <w:rPr>
          <w:color w:val="auto"/>
        </w:rPr>
        <w:t>fetal</w:t>
      </w:r>
      <w:proofErr w:type="spellEnd"/>
      <w:r w:rsidRPr="003256F8">
        <w:rPr>
          <w:color w:val="auto"/>
        </w:rPr>
        <w:t xml:space="preserve"> gelişim /ve-veya/ doğum /ve-veya/ doğum sonrası gelişim üzerindeki etkiler bakımından yetersizdir (bkz. </w:t>
      </w:r>
      <w:proofErr w:type="gramStart"/>
      <w:r w:rsidRPr="003256F8">
        <w:rPr>
          <w:color w:val="auto"/>
        </w:rPr>
        <w:t>5.3</w:t>
      </w:r>
      <w:proofErr w:type="gramEnd"/>
      <w:r w:rsidRPr="003256F8">
        <w:rPr>
          <w:color w:val="auto"/>
        </w:rPr>
        <w:t>).</w:t>
      </w:r>
    </w:p>
    <w:p w:rsidR="007521A4" w:rsidRPr="003256F8" w:rsidRDefault="007521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İnsanlara yönelik potansiyel riski bilinmemektedir.</w:t>
      </w:r>
    </w:p>
    <w:p w:rsidR="007521A4" w:rsidRPr="003256F8" w:rsidRDefault="007521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XEİMER gerekli olmadıkça gebelik döneminde kullanılmamalıdır.</w:t>
      </w:r>
    </w:p>
    <w:p w:rsidR="008B2035" w:rsidRPr="003256F8" w:rsidRDefault="008B2035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 xml:space="preserve">Gebelik dönemi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İnsanlardaki potansiyel riski bilinmemektedir.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kesinlikle gerekli olmadıkça gebelikte kullanılmamalıdır. </w:t>
      </w:r>
    </w:p>
    <w:p w:rsidR="002F3F6A" w:rsidRPr="003256F8" w:rsidRDefault="002F3F6A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 xml:space="preserve">Laktasyon dönemi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insan sütüne geçişine ilişkin bilgi yoktur. Ancak, maddenin </w:t>
      </w:r>
      <w:proofErr w:type="spellStart"/>
      <w:r w:rsidRPr="003256F8">
        <w:rPr>
          <w:color w:val="auto"/>
        </w:rPr>
        <w:t>lipofilitesi</w:t>
      </w:r>
      <w:proofErr w:type="spellEnd"/>
      <w:r w:rsidRPr="003256F8">
        <w:rPr>
          <w:color w:val="auto"/>
        </w:rPr>
        <w:t xml:space="preserve"> nedeni ile bunun olması muhtemeldir.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kullanan kadınlar emzirmemelidir. </w:t>
      </w:r>
    </w:p>
    <w:p w:rsidR="007521A4" w:rsidRPr="003256F8" w:rsidRDefault="007521A4" w:rsidP="00901B13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>Üreme yeteneği/</w:t>
      </w:r>
      <w:proofErr w:type="spellStart"/>
      <w:r w:rsidRPr="003256F8">
        <w:rPr>
          <w:b/>
          <w:bCs/>
          <w:color w:val="auto"/>
        </w:rPr>
        <w:t>fertilite</w:t>
      </w:r>
      <w:proofErr w:type="spellEnd"/>
      <w:r w:rsidRPr="003256F8">
        <w:rPr>
          <w:b/>
          <w:bCs/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Hayvan çalışmaları, insanlardakine eşit veya az daha yüksek </w:t>
      </w:r>
      <w:proofErr w:type="spellStart"/>
      <w:r w:rsidRPr="003256F8">
        <w:rPr>
          <w:color w:val="auto"/>
        </w:rPr>
        <w:t>maruziyet</w:t>
      </w:r>
      <w:proofErr w:type="spellEnd"/>
      <w:r w:rsidRPr="003256F8">
        <w:rPr>
          <w:color w:val="auto"/>
        </w:rPr>
        <w:t xml:space="preserve"> düzeylerinde rahim içi büyümede azalma oluşturduğuna işaret etmektedir (</w:t>
      </w:r>
      <w:r w:rsidRPr="003256F8">
        <w:rPr>
          <w:i/>
          <w:iCs/>
          <w:color w:val="auto"/>
        </w:rPr>
        <w:t xml:space="preserve">bkz. </w:t>
      </w:r>
      <w:proofErr w:type="gramStart"/>
      <w:r w:rsidRPr="003256F8">
        <w:rPr>
          <w:i/>
          <w:iCs/>
          <w:color w:val="auto"/>
        </w:rPr>
        <w:t>5.3</w:t>
      </w:r>
      <w:proofErr w:type="gramEnd"/>
      <w:r w:rsidRPr="003256F8">
        <w:rPr>
          <w:i/>
          <w:iCs/>
          <w:color w:val="auto"/>
        </w:rPr>
        <w:t xml:space="preserve"> Klinik öncesi güvenlilik verileri</w:t>
      </w:r>
      <w:r w:rsidRPr="003256F8">
        <w:rPr>
          <w:color w:val="auto"/>
        </w:rPr>
        <w:t xml:space="preserve">).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720" w:hanging="720"/>
        <w:jc w:val="both"/>
        <w:rPr>
          <w:color w:val="auto"/>
        </w:rPr>
      </w:pPr>
      <w:r w:rsidRPr="003256F8">
        <w:rPr>
          <w:b/>
          <w:bCs/>
          <w:color w:val="auto"/>
        </w:rPr>
        <w:t>4.7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Araç ve </w:t>
      </w:r>
      <w:proofErr w:type="spellStart"/>
      <w:r w:rsidRPr="003256F8">
        <w:rPr>
          <w:b/>
          <w:bCs/>
          <w:color w:val="auto"/>
        </w:rPr>
        <w:t>makina</w:t>
      </w:r>
      <w:proofErr w:type="spellEnd"/>
      <w:r w:rsidRPr="003256F8">
        <w:rPr>
          <w:b/>
          <w:bCs/>
          <w:color w:val="auto"/>
        </w:rPr>
        <w:t xml:space="preserve"> kullanımı üzerindeki etkiler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Orta ve şiddetli Alzheimer hastalığı genellikle araba kullanma performansının veya makine kullanma yeteneğinin azalmasına neden olur. Buna ilave olarak, </w:t>
      </w:r>
      <w:proofErr w:type="spellStart"/>
      <w:r w:rsidR="005835EF" w:rsidRPr="003256F8">
        <w:rPr>
          <w:color w:val="auto"/>
        </w:rPr>
        <w:t>memantinin</w:t>
      </w:r>
      <w:proofErr w:type="spellEnd"/>
      <w:r w:rsidR="005835EF" w:rsidRPr="003256F8">
        <w:rPr>
          <w:color w:val="auto"/>
        </w:rPr>
        <w:t xml:space="preserve"> araba ve makine kullanma yeteneğine az veya orta derecede etkisi vardır</w:t>
      </w:r>
      <w:r w:rsidRPr="003256F8">
        <w:rPr>
          <w:color w:val="auto"/>
        </w:rPr>
        <w:t xml:space="preserve">. Bu nedenle </w:t>
      </w:r>
      <w:r w:rsidR="005835EF" w:rsidRPr="003256F8">
        <w:rPr>
          <w:color w:val="auto"/>
        </w:rPr>
        <w:t>ayaktan tedavi gören hastaların</w:t>
      </w:r>
      <w:r w:rsidRPr="003256F8">
        <w:rPr>
          <w:color w:val="auto"/>
        </w:rPr>
        <w:t xml:space="preserve"> dikkatli olmaları konusunda uyarılmaları gerekmektedir.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lastRenderedPageBreak/>
        <w:t>4.8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İstenmeyen etkiler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Hafif, orta ve şiddetli </w:t>
      </w:r>
      <w:proofErr w:type="spellStart"/>
      <w:r w:rsidRPr="003256F8">
        <w:rPr>
          <w:color w:val="auto"/>
        </w:rPr>
        <w:t>demansta</w:t>
      </w:r>
      <w:proofErr w:type="spellEnd"/>
      <w:r w:rsidRPr="003256F8">
        <w:rPr>
          <w:color w:val="auto"/>
        </w:rPr>
        <w:t xml:space="preserve"> yapılan ve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tedavi edilen 1784 ve </w:t>
      </w:r>
      <w:proofErr w:type="spellStart"/>
      <w:r w:rsidRPr="003256F8">
        <w:rPr>
          <w:color w:val="auto"/>
        </w:rPr>
        <w:t>plasebo</w:t>
      </w:r>
      <w:proofErr w:type="spellEnd"/>
      <w:r w:rsidRPr="003256F8">
        <w:rPr>
          <w:color w:val="auto"/>
        </w:rPr>
        <w:t xml:space="preserve"> ile tedavi edilen 1595 hastayı kapsayan klinik çalışmalarda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görülen </w:t>
      </w:r>
      <w:proofErr w:type="spellStart"/>
      <w:r w:rsidRPr="003256F8">
        <w:rPr>
          <w:color w:val="auto"/>
        </w:rPr>
        <w:t>advers</w:t>
      </w:r>
      <w:proofErr w:type="spellEnd"/>
      <w:r w:rsidRPr="003256F8">
        <w:rPr>
          <w:color w:val="auto"/>
        </w:rPr>
        <w:t xml:space="preserve"> olayların toplam insidans oranı </w:t>
      </w:r>
      <w:proofErr w:type="spellStart"/>
      <w:r w:rsidRPr="003256F8">
        <w:rPr>
          <w:color w:val="auto"/>
        </w:rPr>
        <w:t>plasebo</w:t>
      </w:r>
      <w:proofErr w:type="spellEnd"/>
      <w:r w:rsidRPr="003256F8">
        <w:rPr>
          <w:color w:val="auto"/>
        </w:rPr>
        <w:t xml:space="preserve"> ile görülenlerden farklılık göstermemiştir; </w:t>
      </w:r>
      <w:proofErr w:type="spellStart"/>
      <w:r w:rsidRPr="003256F8">
        <w:rPr>
          <w:color w:val="auto"/>
        </w:rPr>
        <w:t>advers</w:t>
      </w:r>
      <w:proofErr w:type="spellEnd"/>
      <w:r w:rsidRPr="003256F8">
        <w:rPr>
          <w:color w:val="auto"/>
        </w:rPr>
        <w:t xml:space="preserve"> olaylar genellikle hafif ve orta şiddettedir.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grubunda </w:t>
      </w:r>
      <w:proofErr w:type="spellStart"/>
      <w:r w:rsidRPr="003256F8">
        <w:rPr>
          <w:color w:val="auto"/>
        </w:rPr>
        <w:t>plasebo</w:t>
      </w:r>
      <w:proofErr w:type="spellEnd"/>
      <w:r w:rsidRPr="003256F8">
        <w:rPr>
          <w:color w:val="auto"/>
        </w:rPr>
        <w:t xml:space="preserve"> grubundan daha yüksek insidans ile en sık oluşan </w:t>
      </w:r>
      <w:proofErr w:type="spellStart"/>
      <w:r w:rsidRPr="003256F8">
        <w:rPr>
          <w:color w:val="auto"/>
        </w:rPr>
        <w:t>advers</w:t>
      </w:r>
      <w:proofErr w:type="spellEnd"/>
      <w:r w:rsidRPr="003256F8">
        <w:rPr>
          <w:color w:val="auto"/>
        </w:rPr>
        <w:t xml:space="preserve"> olaylar: sersemlik hali (sırasıyla %</w:t>
      </w:r>
      <w:proofErr w:type="gramStart"/>
      <w:r w:rsidRPr="003256F8">
        <w:rPr>
          <w:color w:val="auto"/>
        </w:rPr>
        <w:t>6.3</w:t>
      </w:r>
      <w:proofErr w:type="gramEnd"/>
      <w:r w:rsidRPr="003256F8">
        <w:rPr>
          <w:color w:val="auto"/>
        </w:rPr>
        <w:t xml:space="preserve">-%5.6), baş ağrısı (%5.2-%3.9), kabızlık (%4.6-%2.6), uyuklama hali (%3.4-%2.2) ve hipertansiyon (%4.1-%2.8).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Aşağıdaki tabloda listelenen </w:t>
      </w:r>
      <w:proofErr w:type="spellStart"/>
      <w:r w:rsidRPr="003256F8">
        <w:rPr>
          <w:color w:val="auto"/>
        </w:rPr>
        <w:t>advers</w:t>
      </w:r>
      <w:proofErr w:type="spellEnd"/>
      <w:r w:rsidRPr="003256F8">
        <w:rPr>
          <w:color w:val="auto"/>
        </w:rPr>
        <w:t xml:space="preserve"> ilaç reaksiyonları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klinik çalışmalarından ve tıbbın hizmetine sunumundan itibaren toplanmıştır. Her sıklık grubunda istenmeyen etkiler ciddiyetteki azalmaya göre sunulmuştur. </w:t>
      </w:r>
    </w:p>
    <w:p w:rsidR="0011263B" w:rsidRPr="003256F8" w:rsidRDefault="0011263B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Advers</w:t>
      </w:r>
      <w:proofErr w:type="spellEnd"/>
      <w:r w:rsidRPr="003256F8">
        <w:rPr>
          <w:color w:val="auto"/>
        </w:rPr>
        <w:t xml:space="preserve"> etkiler sistem-organ sınıfına göre şu esaslar kullanılarak sıralandırılmaktadır: </w:t>
      </w:r>
      <w:r w:rsidR="00647390" w:rsidRPr="003256F8">
        <w:rPr>
          <w:color w:val="auto"/>
        </w:rPr>
        <w:t>ç</w:t>
      </w:r>
      <w:r w:rsidRPr="003256F8">
        <w:rPr>
          <w:color w:val="auto"/>
        </w:rPr>
        <w:t xml:space="preserve">ok yaygın (≥ 1/10), yaygın (≥ 1/100 </w:t>
      </w:r>
      <w:r w:rsidR="00647390" w:rsidRPr="003256F8">
        <w:rPr>
          <w:color w:val="auto"/>
        </w:rPr>
        <w:t>-</w:t>
      </w:r>
      <w:r w:rsidRPr="003256F8">
        <w:rPr>
          <w:color w:val="auto"/>
        </w:rPr>
        <w:t xml:space="preserve"> &lt;1/10), yaygın olmayan (≥ </w:t>
      </w:r>
      <w:proofErr w:type="gramStart"/>
      <w:r w:rsidRPr="003256F8">
        <w:rPr>
          <w:color w:val="auto"/>
        </w:rPr>
        <w:t>1/1,000</w:t>
      </w:r>
      <w:proofErr w:type="gramEnd"/>
      <w:r w:rsidRPr="003256F8">
        <w:rPr>
          <w:color w:val="auto"/>
        </w:rPr>
        <w:t xml:space="preserve"> </w:t>
      </w:r>
      <w:r w:rsidR="00647390" w:rsidRPr="003256F8">
        <w:rPr>
          <w:color w:val="auto"/>
        </w:rPr>
        <w:t>-</w:t>
      </w:r>
      <w:r w:rsidRPr="003256F8">
        <w:rPr>
          <w:color w:val="auto"/>
        </w:rPr>
        <w:t xml:space="preserve"> &lt;1/100), seyrek (≥1/10,000 </w:t>
      </w:r>
      <w:r w:rsidR="00647390" w:rsidRPr="003256F8">
        <w:rPr>
          <w:color w:val="auto"/>
        </w:rPr>
        <w:t>-</w:t>
      </w:r>
      <w:r w:rsidRPr="003256F8">
        <w:rPr>
          <w:color w:val="auto"/>
        </w:rPr>
        <w:t xml:space="preserve"> &lt; 1/,1000), çok seyrek (&lt; 1/10,000), bilinmeyen (mevcut veriden tahmin edilemeyen). </w:t>
      </w:r>
    </w:p>
    <w:tbl>
      <w:tblPr>
        <w:tblStyle w:val="TabloKlavuzu"/>
        <w:tblW w:w="9249" w:type="dxa"/>
        <w:tblInd w:w="250" w:type="dxa"/>
        <w:tblLook w:val="04A0"/>
      </w:tblPr>
      <w:tblGrid>
        <w:gridCol w:w="3481"/>
        <w:gridCol w:w="2331"/>
        <w:gridCol w:w="3437"/>
      </w:tblGrid>
      <w:tr w:rsidR="00B9065A" w:rsidRPr="003256F8" w:rsidTr="00966531">
        <w:trPr>
          <w:trHeight w:val="31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 xml:space="preserve">Enfeksiyon ve </w:t>
            </w:r>
            <w:proofErr w:type="spellStart"/>
            <w:r w:rsidRPr="003256F8">
              <w:rPr>
                <w:color w:val="auto"/>
              </w:rPr>
              <w:t>enfestasyonlar</w:t>
            </w:r>
            <w:proofErr w:type="spellEnd"/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 xml:space="preserve">Mantar </w:t>
            </w:r>
            <w:proofErr w:type="gramStart"/>
            <w:r w:rsidRPr="003256F8">
              <w:rPr>
                <w:color w:val="auto"/>
              </w:rPr>
              <w:t>enfeksiyonlar</w:t>
            </w:r>
            <w:r w:rsidR="00CB5B8F" w:rsidRPr="003256F8">
              <w:rPr>
                <w:color w:val="auto"/>
              </w:rPr>
              <w:t>ı</w:t>
            </w:r>
            <w:proofErr w:type="gramEnd"/>
          </w:p>
        </w:tc>
      </w:tr>
      <w:tr w:rsidR="00B9065A" w:rsidRPr="003256F8" w:rsidTr="00966531">
        <w:trPr>
          <w:trHeight w:val="31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Bağışıklık sistemi bozuklukla</w:t>
            </w:r>
            <w:r w:rsidR="00CB5B8F" w:rsidRPr="003256F8">
              <w:rPr>
                <w:color w:val="auto"/>
              </w:rPr>
              <w:t>r</w:t>
            </w:r>
            <w:r w:rsidRPr="003256F8">
              <w:rPr>
                <w:color w:val="auto"/>
              </w:rPr>
              <w:t>ı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Hipersensitivite</w:t>
            </w:r>
          </w:p>
        </w:tc>
      </w:tr>
      <w:tr w:rsidR="00B9065A" w:rsidRPr="003256F8" w:rsidTr="00966531">
        <w:trPr>
          <w:trHeight w:val="314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Psikiyatrik hastalıklar</w:t>
            </w:r>
          </w:p>
        </w:tc>
        <w:tc>
          <w:tcPr>
            <w:tcW w:w="2331" w:type="dxa"/>
            <w:tcBorders>
              <w:left w:val="single" w:sz="4" w:space="0" w:color="auto"/>
            </w:tcBorders>
            <w:vAlign w:val="bottom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  <w:vAlign w:val="bottom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Uyuklama hali</w:t>
            </w:r>
          </w:p>
        </w:tc>
      </w:tr>
      <w:tr w:rsidR="00B9065A" w:rsidRPr="003256F8" w:rsidTr="00966531">
        <w:trPr>
          <w:trHeight w:val="314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bottom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  <w:vAlign w:val="bottom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proofErr w:type="spellStart"/>
            <w:r w:rsidRPr="003256F8">
              <w:rPr>
                <w:color w:val="auto"/>
              </w:rPr>
              <w:t>Konfüzyon</w:t>
            </w:r>
            <w:proofErr w:type="spellEnd"/>
          </w:p>
        </w:tc>
      </w:tr>
      <w:tr w:rsidR="00B9065A" w:rsidRPr="003256F8" w:rsidTr="00966531">
        <w:trPr>
          <w:trHeight w:val="314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bottom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  <w:vAlign w:val="bottom"/>
          </w:tcPr>
          <w:p w:rsidR="00B9065A" w:rsidRPr="003256F8" w:rsidRDefault="00B9065A" w:rsidP="0013302D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Halüsinasyon</w:t>
            </w:r>
            <w:r w:rsidR="0013302D" w:rsidRPr="003256F8">
              <w:rPr>
                <w:color w:val="auto"/>
                <w:vertAlign w:val="superscript"/>
              </w:rPr>
              <w:t>1</w:t>
            </w:r>
          </w:p>
        </w:tc>
      </w:tr>
      <w:tr w:rsidR="00B9065A" w:rsidRPr="003256F8" w:rsidTr="00966531">
        <w:trPr>
          <w:trHeight w:val="314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  <w:vAlign w:val="bottom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Bilinmeyen</w:t>
            </w:r>
          </w:p>
        </w:tc>
        <w:tc>
          <w:tcPr>
            <w:tcW w:w="3437" w:type="dxa"/>
            <w:vAlign w:val="bottom"/>
          </w:tcPr>
          <w:p w:rsidR="00B9065A" w:rsidRPr="003256F8" w:rsidRDefault="00B9065A" w:rsidP="0013302D">
            <w:pPr>
              <w:pStyle w:val="Default"/>
              <w:rPr>
                <w:color w:val="auto"/>
              </w:rPr>
            </w:pPr>
            <w:proofErr w:type="spellStart"/>
            <w:r w:rsidRPr="003256F8">
              <w:rPr>
                <w:color w:val="auto"/>
              </w:rPr>
              <w:t>Psikotik</w:t>
            </w:r>
            <w:proofErr w:type="spellEnd"/>
            <w:r w:rsidRPr="003256F8">
              <w:rPr>
                <w:color w:val="auto"/>
              </w:rPr>
              <w:t xml:space="preserve"> reaksiyonlar</w:t>
            </w:r>
            <w:r w:rsidR="0013302D" w:rsidRPr="003256F8">
              <w:rPr>
                <w:color w:val="auto"/>
                <w:vertAlign w:val="superscript"/>
              </w:rPr>
              <w:t>2</w:t>
            </w:r>
          </w:p>
        </w:tc>
      </w:tr>
      <w:tr w:rsidR="00B9065A" w:rsidRPr="003256F8" w:rsidTr="00966531">
        <w:trPr>
          <w:trHeight w:val="314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Sinir sistemi hastalıkları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Sersemlik hali</w:t>
            </w:r>
          </w:p>
        </w:tc>
      </w:tr>
      <w:tr w:rsidR="00B9065A" w:rsidRPr="003256F8" w:rsidTr="00966531">
        <w:trPr>
          <w:trHeight w:val="145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Denge bozuklukları</w:t>
            </w:r>
          </w:p>
        </w:tc>
      </w:tr>
      <w:tr w:rsidR="00B9065A" w:rsidRPr="003256F8" w:rsidTr="00966531">
        <w:trPr>
          <w:trHeight w:val="145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Yürüyüş anormalliliği</w:t>
            </w:r>
          </w:p>
        </w:tc>
      </w:tr>
      <w:tr w:rsidR="00B9065A" w:rsidRPr="003256F8" w:rsidTr="00966531">
        <w:trPr>
          <w:trHeight w:val="145"/>
        </w:trPr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Çok seyrek</w:t>
            </w:r>
          </w:p>
        </w:tc>
        <w:tc>
          <w:tcPr>
            <w:tcW w:w="3437" w:type="dxa"/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Nöbetler</w:t>
            </w:r>
          </w:p>
        </w:tc>
      </w:tr>
      <w:tr w:rsidR="00B9065A" w:rsidRPr="003256F8" w:rsidTr="00966531">
        <w:trPr>
          <w:trHeight w:val="31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65A" w:rsidRPr="003256F8" w:rsidRDefault="00B9065A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Kardiyak hastalıklar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</w:tcPr>
          <w:p w:rsidR="00B9065A" w:rsidRPr="003256F8" w:rsidRDefault="00B9065A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Kardiyak yetmezlik</w:t>
            </w:r>
          </w:p>
        </w:tc>
      </w:tr>
      <w:tr w:rsidR="0011263B" w:rsidRPr="003256F8" w:rsidTr="00966531">
        <w:trPr>
          <w:trHeight w:val="314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Vasküler hastalıklar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Hipertansiyon</w:t>
            </w:r>
          </w:p>
        </w:tc>
      </w:tr>
      <w:tr w:rsidR="0011263B" w:rsidRPr="003256F8" w:rsidTr="00966531">
        <w:trPr>
          <w:trHeight w:val="314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3256F8">
              <w:rPr>
                <w:color w:val="auto"/>
              </w:rPr>
              <w:t>Venöz</w:t>
            </w:r>
            <w:proofErr w:type="spellEnd"/>
            <w:r w:rsidRPr="003256F8">
              <w:rPr>
                <w:color w:val="auto"/>
              </w:rPr>
              <w:t xml:space="preserve"> </w:t>
            </w:r>
            <w:proofErr w:type="spellStart"/>
            <w:r w:rsidRPr="003256F8">
              <w:rPr>
                <w:color w:val="auto"/>
              </w:rPr>
              <w:t>tromboz</w:t>
            </w:r>
            <w:proofErr w:type="spellEnd"/>
            <w:r w:rsidRPr="003256F8">
              <w:rPr>
                <w:color w:val="auto"/>
              </w:rPr>
              <w:t>/</w:t>
            </w:r>
            <w:proofErr w:type="spellStart"/>
            <w:r w:rsidRPr="003256F8">
              <w:rPr>
                <w:color w:val="auto"/>
              </w:rPr>
              <w:t>tromboembolizm</w:t>
            </w:r>
            <w:proofErr w:type="spellEnd"/>
          </w:p>
        </w:tc>
      </w:tr>
      <w:tr w:rsidR="0011263B" w:rsidRPr="003256F8" w:rsidTr="00966531">
        <w:trPr>
          <w:trHeight w:val="31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Solunum sistemi, göğüs ve mediastinal hastalıklar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3256F8">
              <w:rPr>
                <w:color w:val="auto"/>
              </w:rPr>
              <w:t>Dispne</w:t>
            </w:r>
            <w:proofErr w:type="spellEnd"/>
          </w:p>
        </w:tc>
      </w:tr>
      <w:tr w:rsidR="0011263B" w:rsidRPr="003256F8" w:rsidTr="00966531">
        <w:trPr>
          <w:trHeight w:val="314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Gastrointestinal hastalıklar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 xml:space="preserve">Kabızlık </w:t>
            </w:r>
          </w:p>
        </w:tc>
      </w:tr>
      <w:tr w:rsidR="0011263B" w:rsidRPr="003256F8" w:rsidTr="00966531">
        <w:trPr>
          <w:trHeight w:val="145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Kusma</w:t>
            </w:r>
          </w:p>
        </w:tc>
      </w:tr>
      <w:tr w:rsidR="0011263B" w:rsidRPr="003256F8" w:rsidTr="00966531">
        <w:trPr>
          <w:trHeight w:val="145"/>
        </w:trPr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Bilinmiyor</w:t>
            </w:r>
          </w:p>
        </w:tc>
        <w:tc>
          <w:tcPr>
            <w:tcW w:w="3437" w:type="dxa"/>
          </w:tcPr>
          <w:p w:rsidR="0011263B" w:rsidRPr="003256F8" w:rsidRDefault="0011263B" w:rsidP="003C6A4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Pankreatit</w:t>
            </w:r>
            <w:r w:rsidR="003C6A40" w:rsidRPr="003256F8">
              <w:rPr>
                <w:color w:val="auto"/>
                <w:vertAlign w:val="superscript"/>
              </w:rPr>
              <w:t>2</w:t>
            </w:r>
          </w:p>
        </w:tc>
      </w:tr>
      <w:tr w:rsidR="0011263B" w:rsidRPr="003256F8" w:rsidTr="00966531">
        <w:trPr>
          <w:trHeight w:val="314"/>
        </w:trPr>
        <w:tc>
          <w:tcPr>
            <w:tcW w:w="3481" w:type="dxa"/>
            <w:vMerge w:val="restart"/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  <w:proofErr w:type="spellStart"/>
            <w:r w:rsidRPr="003256F8">
              <w:rPr>
                <w:color w:val="auto"/>
              </w:rPr>
              <w:t>Hepato</w:t>
            </w:r>
            <w:proofErr w:type="spellEnd"/>
            <w:r w:rsidRPr="003256F8">
              <w:rPr>
                <w:color w:val="auto"/>
              </w:rPr>
              <w:t>-</w:t>
            </w:r>
            <w:proofErr w:type="spellStart"/>
            <w:r w:rsidRPr="003256F8">
              <w:rPr>
                <w:color w:val="auto"/>
              </w:rPr>
              <w:t>bilier</w:t>
            </w:r>
            <w:proofErr w:type="spellEnd"/>
            <w:r w:rsidRPr="003256F8">
              <w:rPr>
                <w:color w:val="auto"/>
              </w:rPr>
              <w:t xml:space="preserve"> hastalıklar</w:t>
            </w:r>
          </w:p>
        </w:tc>
        <w:tc>
          <w:tcPr>
            <w:tcW w:w="2331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Artmış karaciğer fonksiyon testi</w:t>
            </w:r>
          </w:p>
        </w:tc>
      </w:tr>
      <w:tr w:rsidR="0011263B" w:rsidRPr="003256F8" w:rsidTr="00966531">
        <w:trPr>
          <w:trHeight w:val="314"/>
        </w:trPr>
        <w:tc>
          <w:tcPr>
            <w:tcW w:w="3481" w:type="dxa"/>
            <w:vMerge/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</w:p>
        </w:tc>
        <w:tc>
          <w:tcPr>
            <w:tcW w:w="2331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Bilinmeyen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Hepatit</w:t>
            </w:r>
          </w:p>
        </w:tc>
      </w:tr>
      <w:tr w:rsidR="0011263B" w:rsidRPr="003256F8" w:rsidTr="00966531">
        <w:trPr>
          <w:trHeight w:val="314"/>
        </w:trPr>
        <w:tc>
          <w:tcPr>
            <w:tcW w:w="3481" w:type="dxa"/>
            <w:vMerge w:val="restart"/>
            <w:vAlign w:val="center"/>
          </w:tcPr>
          <w:p w:rsidR="0011263B" w:rsidRPr="003256F8" w:rsidRDefault="0011263B" w:rsidP="00647390">
            <w:pPr>
              <w:pStyle w:val="Default"/>
              <w:rPr>
                <w:color w:val="auto"/>
              </w:rPr>
            </w:pPr>
            <w:r w:rsidRPr="003256F8">
              <w:rPr>
                <w:color w:val="auto"/>
              </w:rPr>
              <w:t>Genel bozukluklar ve uygulama bölgesine ilişkin hastalıklar</w:t>
            </w:r>
          </w:p>
        </w:tc>
        <w:tc>
          <w:tcPr>
            <w:tcW w:w="2331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Baş ağrısı</w:t>
            </w:r>
          </w:p>
        </w:tc>
      </w:tr>
      <w:tr w:rsidR="0011263B" w:rsidRPr="003256F8" w:rsidTr="00966531">
        <w:trPr>
          <w:trHeight w:val="145"/>
        </w:trPr>
        <w:tc>
          <w:tcPr>
            <w:tcW w:w="3481" w:type="dxa"/>
            <w:vMerge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31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Yaygın olmayan</w:t>
            </w:r>
          </w:p>
        </w:tc>
        <w:tc>
          <w:tcPr>
            <w:tcW w:w="3437" w:type="dxa"/>
          </w:tcPr>
          <w:p w:rsidR="0011263B" w:rsidRPr="003256F8" w:rsidRDefault="0011263B" w:rsidP="00647390">
            <w:pPr>
              <w:pStyle w:val="Default"/>
              <w:jc w:val="both"/>
              <w:rPr>
                <w:color w:val="auto"/>
              </w:rPr>
            </w:pPr>
            <w:r w:rsidRPr="003256F8">
              <w:rPr>
                <w:color w:val="auto"/>
              </w:rPr>
              <w:t>Yorgunluk</w:t>
            </w:r>
          </w:p>
        </w:tc>
      </w:tr>
    </w:tbl>
    <w:p w:rsidR="002F3F6A" w:rsidRPr="003256F8" w:rsidRDefault="0013302D" w:rsidP="003C6A40">
      <w:pPr>
        <w:pStyle w:val="Default"/>
        <w:spacing w:before="120" w:line="360" w:lineRule="auto"/>
        <w:jc w:val="both"/>
        <w:rPr>
          <w:color w:val="auto"/>
        </w:rPr>
      </w:pPr>
      <w:r w:rsidRPr="003256F8">
        <w:rPr>
          <w:color w:val="auto"/>
          <w:vertAlign w:val="superscript"/>
        </w:rPr>
        <w:t>1</w:t>
      </w:r>
      <w:r w:rsidR="002F3F6A" w:rsidRPr="003256F8">
        <w:rPr>
          <w:color w:val="auto"/>
        </w:rPr>
        <w:t xml:space="preserve">Halüsinasyonlar çoğunlukla şiddetli Alzheimer hastalarında gözlemlenmiştir. </w:t>
      </w:r>
    </w:p>
    <w:p w:rsidR="002F3F6A" w:rsidRPr="003256F8" w:rsidRDefault="0013302D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  <w:vertAlign w:val="superscript"/>
        </w:rPr>
        <w:t>2</w:t>
      </w:r>
      <w:r w:rsidR="002F3F6A" w:rsidRPr="003256F8">
        <w:rPr>
          <w:color w:val="auto"/>
        </w:rPr>
        <w:t xml:space="preserve">Pazarlama sonrası deneyimlerde bildirilen izole durumlar. </w:t>
      </w:r>
    </w:p>
    <w:p w:rsidR="002F3F6A" w:rsidRPr="003256F8" w:rsidRDefault="002F3F6A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lastRenderedPageBreak/>
        <w:t>Alzheimer hastalığı, depresyon, intihar düşüncesi ve intihar ile ilişkilendirilmiştir. Pazarlama</w:t>
      </w:r>
      <w:r w:rsidR="0011263B" w:rsidRPr="003256F8">
        <w:rPr>
          <w:color w:val="auto"/>
        </w:rPr>
        <w:t xml:space="preserve"> </w:t>
      </w:r>
      <w:r w:rsidRPr="003256F8">
        <w:rPr>
          <w:color w:val="auto"/>
        </w:rPr>
        <w:t xml:space="preserve">sonrası deneyimlerde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tedavi edilen hastalarda bu olaylar bildirilmiştir. </w:t>
      </w:r>
    </w:p>
    <w:p w:rsidR="002F3F6A" w:rsidRPr="003256F8" w:rsidRDefault="002F3F6A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</w:p>
    <w:p w:rsidR="00211361" w:rsidRPr="000750E4" w:rsidRDefault="00211361" w:rsidP="0021136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u w:val="single"/>
          <w:lang w:val="tr-TR" w:eastAsia="nl-NL"/>
        </w:rPr>
      </w:pPr>
      <w:r w:rsidRPr="000750E4">
        <w:rPr>
          <w:rFonts w:hint="eastAsia"/>
          <w:u w:val="single"/>
          <w:lang w:val="tr-TR" w:eastAsia="nl-NL"/>
        </w:rPr>
        <w:t>Ş</w:t>
      </w:r>
      <w:r w:rsidRPr="000750E4">
        <w:rPr>
          <w:u w:val="single"/>
          <w:lang w:val="tr-TR" w:eastAsia="nl-NL"/>
        </w:rPr>
        <w:t xml:space="preserve">üpheli </w:t>
      </w:r>
      <w:proofErr w:type="spellStart"/>
      <w:r w:rsidRPr="000750E4">
        <w:rPr>
          <w:u w:val="single"/>
          <w:lang w:val="tr-TR" w:eastAsia="nl-NL"/>
        </w:rPr>
        <w:t>advers</w:t>
      </w:r>
      <w:proofErr w:type="spellEnd"/>
      <w:r w:rsidRPr="000750E4">
        <w:rPr>
          <w:u w:val="single"/>
          <w:lang w:val="tr-TR" w:eastAsia="nl-NL"/>
        </w:rPr>
        <w:t xml:space="preserve"> reaksiyonlar</w:t>
      </w:r>
      <w:r w:rsidRPr="000750E4">
        <w:rPr>
          <w:rFonts w:hint="eastAsia"/>
          <w:u w:val="single"/>
          <w:lang w:val="tr-TR" w:eastAsia="nl-NL"/>
        </w:rPr>
        <w:t>ı</w:t>
      </w:r>
      <w:r w:rsidRPr="000750E4">
        <w:rPr>
          <w:u w:val="single"/>
          <w:lang w:val="tr-TR" w:eastAsia="nl-NL"/>
        </w:rPr>
        <w:t>n raporlanmas</w:t>
      </w:r>
      <w:r w:rsidRPr="000750E4">
        <w:rPr>
          <w:rFonts w:hint="eastAsia"/>
          <w:u w:val="single"/>
          <w:lang w:val="tr-TR" w:eastAsia="nl-NL"/>
        </w:rPr>
        <w:t>ı</w:t>
      </w:r>
    </w:p>
    <w:p w:rsidR="00211361" w:rsidRPr="000750E4" w:rsidRDefault="00211361" w:rsidP="0021136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lang w:val="tr-TR" w:eastAsia="nl-NL"/>
        </w:rPr>
      </w:pPr>
      <w:r w:rsidRPr="000750E4">
        <w:rPr>
          <w:lang w:val="tr-TR" w:eastAsia="nl-NL"/>
        </w:rPr>
        <w:t>Ruhsatland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rma sonras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 xml:space="preserve"> </w:t>
      </w:r>
      <w:r w:rsidRPr="000750E4">
        <w:rPr>
          <w:rFonts w:hint="eastAsia"/>
          <w:lang w:val="tr-TR" w:eastAsia="nl-NL"/>
        </w:rPr>
        <w:t>ş</w:t>
      </w:r>
      <w:r w:rsidRPr="000750E4">
        <w:rPr>
          <w:lang w:val="tr-TR" w:eastAsia="nl-NL"/>
        </w:rPr>
        <w:t xml:space="preserve">üpheli ilaç </w:t>
      </w:r>
      <w:proofErr w:type="spellStart"/>
      <w:r w:rsidRPr="000750E4">
        <w:rPr>
          <w:lang w:val="tr-TR" w:eastAsia="nl-NL"/>
        </w:rPr>
        <w:t>advers</w:t>
      </w:r>
      <w:proofErr w:type="spellEnd"/>
      <w:r w:rsidRPr="000750E4">
        <w:rPr>
          <w:lang w:val="tr-TR" w:eastAsia="nl-NL"/>
        </w:rPr>
        <w:t xml:space="preserve"> reaksiyonlar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n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n raporlanmas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 xml:space="preserve"> büyük önem ta</w:t>
      </w:r>
      <w:r w:rsidRPr="000750E4">
        <w:rPr>
          <w:rFonts w:hint="eastAsia"/>
          <w:lang w:val="tr-TR" w:eastAsia="nl-NL"/>
        </w:rPr>
        <w:t>şı</w:t>
      </w:r>
      <w:r w:rsidRPr="000750E4">
        <w:rPr>
          <w:lang w:val="tr-TR" w:eastAsia="nl-NL"/>
        </w:rPr>
        <w:t>maktad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r. Raporlama yap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lmas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, ilac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n yarar/risk dengesinin sürekli olarak izlenmesine olanak sa</w:t>
      </w:r>
      <w:r w:rsidRPr="000750E4">
        <w:rPr>
          <w:rFonts w:hint="eastAsia"/>
          <w:lang w:val="tr-TR" w:eastAsia="nl-NL"/>
        </w:rPr>
        <w:t>ğ</w:t>
      </w:r>
      <w:r w:rsidRPr="000750E4">
        <w:rPr>
          <w:lang w:val="tr-TR" w:eastAsia="nl-NL"/>
        </w:rPr>
        <w:t>lar. Sa</w:t>
      </w:r>
      <w:r w:rsidRPr="000750E4">
        <w:rPr>
          <w:rFonts w:hint="eastAsia"/>
          <w:lang w:val="tr-TR" w:eastAsia="nl-NL"/>
        </w:rPr>
        <w:t>ğ</w:t>
      </w:r>
      <w:r w:rsidRPr="000750E4">
        <w:rPr>
          <w:lang w:val="tr-TR" w:eastAsia="nl-NL"/>
        </w:rPr>
        <w:t>l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k mesle</w:t>
      </w:r>
      <w:r w:rsidRPr="000750E4">
        <w:rPr>
          <w:rFonts w:hint="eastAsia"/>
          <w:lang w:val="tr-TR" w:eastAsia="nl-NL"/>
        </w:rPr>
        <w:t>ğ</w:t>
      </w:r>
      <w:r w:rsidRPr="000750E4">
        <w:rPr>
          <w:lang w:val="tr-TR" w:eastAsia="nl-NL"/>
        </w:rPr>
        <w:t>i mensuplar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>n</w:t>
      </w:r>
      <w:r w:rsidRPr="000750E4">
        <w:rPr>
          <w:rFonts w:hint="eastAsia"/>
          <w:lang w:val="tr-TR" w:eastAsia="nl-NL"/>
        </w:rPr>
        <w:t>ı</w:t>
      </w:r>
      <w:r w:rsidRPr="000750E4">
        <w:rPr>
          <w:lang w:val="tr-TR" w:eastAsia="nl-NL"/>
        </w:rPr>
        <w:t xml:space="preserve">n herhangi bir </w:t>
      </w:r>
      <w:r w:rsidRPr="000750E4">
        <w:rPr>
          <w:rFonts w:hint="eastAsia"/>
          <w:lang w:val="tr-TR" w:eastAsia="nl-NL"/>
        </w:rPr>
        <w:t>şü</w:t>
      </w:r>
      <w:r w:rsidRPr="000750E4">
        <w:rPr>
          <w:lang w:val="tr-TR" w:eastAsia="nl-NL"/>
        </w:rPr>
        <w:t xml:space="preserve">pheli </w:t>
      </w:r>
      <w:proofErr w:type="spellStart"/>
      <w:r w:rsidRPr="000750E4">
        <w:rPr>
          <w:lang w:val="tr-TR" w:eastAsia="nl-NL"/>
        </w:rPr>
        <w:t>advers</w:t>
      </w:r>
      <w:proofErr w:type="spellEnd"/>
      <w:r w:rsidRPr="000750E4">
        <w:rPr>
          <w:lang w:val="tr-TR" w:eastAsia="nl-NL"/>
        </w:rPr>
        <w:t xml:space="preserve"> reaksiyonu Türkiye </w:t>
      </w:r>
      <w:proofErr w:type="spellStart"/>
      <w:r w:rsidRPr="000750E4">
        <w:rPr>
          <w:lang w:val="tr-TR" w:eastAsia="nl-NL"/>
        </w:rPr>
        <w:t>Farmakovijilans</w:t>
      </w:r>
      <w:proofErr w:type="spellEnd"/>
      <w:r w:rsidRPr="000750E4">
        <w:rPr>
          <w:lang w:val="tr-TR" w:eastAsia="nl-NL"/>
        </w:rPr>
        <w:t xml:space="preserve"> Merkezi (TÜFAM)'ne bildirmeleri gerekmektedir. (</w:t>
      </w:r>
      <w:r w:rsidRPr="000750E4">
        <w:rPr>
          <w:u w:val="single"/>
          <w:lang w:val="tr-TR" w:eastAsia="nl-NL"/>
        </w:rPr>
        <w:t>www.</w:t>
      </w:r>
      <w:proofErr w:type="spellStart"/>
      <w:r w:rsidRPr="000750E4">
        <w:rPr>
          <w:u w:val="single"/>
          <w:lang w:val="tr-TR" w:eastAsia="nl-NL"/>
        </w:rPr>
        <w:t>titck</w:t>
      </w:r>
      <w:proofErr w:type="spellEnd"/>
      <w:r w:rsidRPr="000750E4">
        <w:rPr>
          <w:u w:val="single"/>
          <w:lang w:val="tr-TR" w:eastAsia="nl-NL"/>
        </w:rPr>
        <w:t>.gov.tr</w:t>
      </w:r>
      <w:r w:rsidRPr="000750E4">
        <w:rPr>
          <w:lang w:val="tr-TR" w:eastAsia="nl-NL"/>
        </w:rPr>
        <w:t xml:space="preserve">;          e-posta: </w:t>
      </w:r>
      <w:proofErr w:type="spellStart"/>
      <w:r w:rsidRPr="000750E4">
        <w:rPr>
          <w:u w:val="single"/>
          <w:lang w:val="tr-TR" w:eastAsia="nl-NL"/>
        </w:rPr>
        <w:t>tufam</w:t>
      </w:r>
      <w:proofErr w:type="spellEnd"/>
      <w:r w:rsidRPr="000750E4">
        <w:rPr>
          <w:u w:val="single"/>
          <w:lang w:val="tr-TR" w:eastAsia="nl-NL"/>
        </w:rPr>
        <w:t>@</w:t>
      </w:r>
      <w:proofErr w:type="spellStart"/>
      <w:r w:rsidRPr="000750E4">
        <w:rPr>
          <w:u w:val="single"/>
          <w:lang w:val="tr-TR" w:eastAsia="nl-NL"/>
        </w:rPr>
        <w:t>titck</w:t>
      </w:r>
      <w:proofErr w:type="spellEnd"/>
      <w:r w:rsidRPr="000750E4">
        <w:rPr>
          <w:u w:val="single"/>
          <w:lang w:val="tr-TR" w:eastAsia="nl-NL"/>
        </w:rPr>
        <w:t>.gov.tr</w:t>
      </w:r>
      <w:r w:rsidRPr="000750E4">
        <w:rPr>
          <w:lang w:val="tr-TR" w:eastAsia="nl-NL"/>
        </w:rPr>
        <w:t>; tel: 0 800 314 00 08; faks: 0 312 218 35 99)</w:t>
      </w:r>
    </w:p>
    <w:p w:rsidR="00211361" w:rsidRPr="003256F8" w:rsidRDefault="00211361" w:rsidP="00211361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4.9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Doz aşımı ve tedavisi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Klinik çalışmalarda veya pazarlama sonrası aşamalarda elde edilen aşırı doz</w:t>
      </w:r>
      <w:r w:rsidR="004549EA" w:rsidRPr="003256F8">
        <w:rPr>
          <w:color w:val="auto"/>
        </w:rPr>
        <w:t xml:space="preserve"> ile ilgili deneyim sınırlıdır.</w:t>
      </w:r>
    </w:p>
    <w:p w:rsidR="004549EA" w:rsidRPr="003256F8" w:rsidRDefault="004549EA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/>
          <w:iCs/>
          <w:color w:val="auto"/>
        </w:rPr>
        <w:t xml:space="preserve">Semptomlar: </w:t>
      </w:r>
      <w:r w:rsidRPr="003256F8">
        <w:rPr>
          <w:color w:val="auto"/>
        </w:rPr>
        <w:t xml:space="preserve">Göreceli büyük aşırı dozlar (sırası ile 3 gün süreyle günde 200 mg ve 105 mg) ya sadece yorgunluk, güçsüzlük ve/veya </w:t>
      </w:r>
      <w:proofErr w:type="spellStart"/>
      <w:r w:rsidRPr="003256F8">
        <w:rPr>
          <w:color w:val="auto"/>
        </w:rPr>
        <w:t>diyare</w:t>
      </w:r>
      <w:proofErr w:type="spellEnd"/>
      <w:r w:rsidRPr="003256F8">
        <w:rPr>
          <w:color w:val="auto"/>
        </w:rPr>
        <w:t xml:space="preserve"> semptomları ile ilişkilendirilmiştir ya da hiçbir </w:t>
      </w:r>
      <w:proofErr w:type="gramStart"/>
      <w:r w:rsidRPr="003256F8">
        <w:rPr>
          <w:color w:val="auto"/>
        </w:rPr>
        <w:t>semptom</w:t>
      </w:r>
      <w:proofErr w:type="gramEnd"/>
      <w:r w:rsidRPr="003256F8">
        <w:rPr>
          <w:color w:val="auto"/>
        </w:rPr>
        <w:t xml:space="preserve"> görülmemiştir. İlacı 140 </w:t>
      </w:r>
      <w:proofErr w:type="spellStart"/>
      <w:r w:rsidRPr="003256F8">
        <w:rPr>
          <w:color w:val="auto"/>
        </w:rPr>
        <w:t>mg’ın</w:t>
      </w:r>
      <w:proofErr w:type="spellEnd"/>
      <w:r w:rsidRPr="003256F8">
        <w:rPr>
          <w:color w:val="auto"/>
        </w:rPr>
        <w:t xml:space="preserve"> altında veya bilinmeyen dozda alan hastalar, santral sinir sistemi (</w:t>
      </w:r>
      <w:proofErr w:type="spellStart"/>
      <w:r w:rsidRPr="003256F8">
        <w:rPr>
          <w:color w:val="auto"/>
        </w:rPr>
        <w:t>konfüzyon</w:t>
      </w:r>
      <w:proofErr w:type="spellEnd"/>
      <w:r w:rsidRPr="003256F8">
        <w:rPr>
          <w:color w:val="auto"/>
        </w:rPr>
        <w:t xml:space="preserve">, uyuklama, uyku basması, </w:t>
      </w:r>
      <w:proofErr w:type="spellStart"/>
      <w:r w:rsidRPr="003256F8">
        <w:rPr>
          <w:color w:val="auto"/>
        </w:rPr>
        <w:t>vertigo</w:t>
      </w:r>
      <w:proofErr w:type="spellEnd"/>
      <w:r w:rsidRPr="003256F8">
        <w:rPr>
          <w:color w:val="auto"/>
        </w:rPr>
        <w:t xml:space="preserve">, </w:t>
      </w:r>
      <w:proofErr w:type="gramStart"/>
      <w:r w:rsidRPr="003256F8">
        <w:rPr>
          <w:color w:val="auto"/>
        </w:rPr>
        <w:t>ajitasyon</w:t>
      </w:r>
      <w:proofErr w:type="gramEnd"/>
      <w:r w:rsidRPr="003256F8">
        <w:rPr>
          <w:color w:val="auto"/>
        </w:rPr>
        <w:t xml:space="preserve">, saldırganlık, halüsinasyon ve yürüyüş bozuklukları) ve/veya </w:t>
      </w:r>
      <w:proofErr w:type="spellStart"/>
      <w:r w:rsidRPr="003256F8">
        <w:rPr>
          <w:color w:val="auto"/>
        </w:rPr>
        <w:t>gastrointestinal</w:t>
      </w:r>
      <w:proofErr w:type="spellEnd"/>
      <w:r w:rsidRPr="003256F8">
        <w:rPr>
          <w:color w:val="auto"/>
        </w:rPr>
        <w:t xml:space="preserve"> (kusma ve </w:t>
      </w:r>
      <w:proofErr w:type="spellStart"/>
      <w:r w:rsidRPr="003256F8">
        <w:rPr>
          <w:color w:val="auto"/>
        </w:rPr>
        <w:t>diyare</w:t>
      </w:r>
      <w:proofErr w:type="spellEnd"/>
      <w:r w:rsidRPr="003256F8">
        <w:rPr>
          <w:color w:val="auto"/>
        </w:rPr>
        <w:t>) ka</w:t>
      </w:r>
      <w:r w:rsidR="004549EA" w:rsidRPr="003256F8">
        <w:rPr>
          <w:color w:val="auto"/>
        </w:rPr>
        <w:t>ynaklı semptomlar göstermiştir.</w:t>
      </w:r>
    </w:p>
    <w:p w:rsidR="004549EA" w:rsidRPr="003256F8" w:rsidRDefault="004549EA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En uç doz aşımı vakasında, hasta oral yolla toplam 2000 mg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alımından sonra santral sinir sistemi üzerine etkiler ile (10 gün koma ve ardından </w:t>
      </w:r>
      <w:proofErr w:type="spellStart"/>
      <w:r w:rsidRPr="003256F8">
        <w:rPr>
          <w:color w:val="auto"/>
        </w:rPr>
        <w:t>diplopi</w:t>
      </w:r>
      <w:proofErr w:type="spellEnd"/>
      <w:r w:rsidRPr="003256F8">
        <w:rPr>
          <w:color w:val="auto"/>
        </w:rPr>
        <w:t xml:space="preserve"> ve </w:t>
      </w:r>
      <w:proofErr w:type="gramStart"/>
      <w:r w:rsidRPr="003256F8">
        <w:rPr>
          <w:color w:val="auto"/>
        </w:rPr>
        <w:t>ajitasyon</w:t>
      </w:r>
      <w:proofErr w:type="gramEnd"/>
      <w:r w:rsidRPr="003256F8">
        <w:rPr>
          <w:color w:val="auto"/>
        </w:rPr>
        <w:t xml:space="preserve">) hayatta kalmıştır. Hasta </w:t>
      </w:r>
      <w:proofErr w:type="spellStart"/>
      <w:r w:rsidRPr="003256F8">
        <w:rPr>
          <w:color w:val="auto"/>
        </w:rPr>
        <w:t>semptomatik</w:t>
      </w:r>
      <w:proofErr w:type="spellEnd"/>
      <w:r w:rsidRPr="003256F8">
        <w:rPr>
          <w:color w:val="auto"/>
        </w:rPr>
        <w:t xml:space="preserve"> tedavi ve </w:t>
      </w:r>
      <w:proofErr w:type="spellStart"/>
      <w:r w:rsidRPr="003256F8">
        <w:rPr>
          <w:color w:val="auto"/>
        </w:rPr>
        <w:t>plazmaferez</w:t>
      </w:r>
      <w:proofErr w:type="spellEnd"/>
      <w:r w:rsidRPr="003256F8">
        <w:rPr>
          <w:color w:val="auto"/>
        </w:rPr>
        <w:t xml:space="preserve"> almıştır. Hasta dai</w:t>
      </w:r>
      <w:r w:rsidR="004549EA" w:rsidRPr="003256F8">
        <w:rPr>
          <w:color w:val="auto"/>
        </w:rPr>
        <w:t>mi sekel kalmadan iyileşmiştir.</w:t>
      </w:r>
    </w:p>
    <w:p w:rsidR="004549EA" w:rsidRPr="003256F8" w:rsidRDefault="004549EA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Başka bir büyük doz aşımı vakasında da hasta yaşamış ve iyileşmiştir. Hasta oral yolla 400</w:t>
      </w:r>
      <w:r w:rsidR="00571EFE" w:rsidRPr="003256F8">
        <w:rPr>
          <w:color w:val="auto"/>
        </w:rPr>
        <w:t xml:space="preserve"> </w:t>
      </w:r>
      <w:r w:rsidRPr="003256F8">
        <w:rPr>
          <w:color w:val="auto"/>
        </w:rPr>
        <w:t xml:space="preserve">mg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almıştır. Hasta, huzursuzluk, psikoz, görsel </w:t>
      </w:r>
      <w:proofErr w:type="spellStart"/>
      <w:r w:rsidRPr="003256F8">
        <w:rPr>
          <w:color w:val="auto"/>
        </w:rPr>
        <w:t>halusinasyonlar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prokonvulsiflik</w:t>
      </w:r>
      <w:proofErr w:type="spellEnd"/>
      <w:r w:rsidRPr="003256F8">
        <w:rPr>
          <w:color w:val="auto"/>
        </w:rPr>
        <w:t xml:space="preserve">, uyuklama hali, </w:t>
      </w:r>
      <w:proofErr w:type="spellStart"/>
      <w:r w:rsidRPr="003256F8">
        <w:rPr>
          <w:color w:val="auto"/>
        </w:rPr>
        <w:t>stupor</w:t>
      </w:r>
      <w:proofErr w:type="spellEnd"/>
      <w:r w:rsidRPr="003256F8">
        <w:rPr>
          <w:color w:val="auto"/>
        </w:rPr>
        <w:t xml:space="preserve"> ve bilinç kaybı gibi santral sinir </w:t>
      </w:r>
      <w:r w:rsidR="004549EA" w:rsidRPr="003256F8">
        <w:rPr>
          <w:color w:val="auto"/>
        </w:rPr>
        <w:t xml:space="preserve">sistemi </w:t>
      </w:r>
      <w:proofErr w:type="gramStart"/>
      <w:r w:rsidR="004549EA" w:rsidRPr="003256F8">
        <w:rPr>
          <w:color w:val="auto"/>
        </w:rPr>
        <w:t>semptomları</w:t>
      </w:r>
      <w:proofErr w:type="gramEnd"/>
      <w:r w:rsidR="004549EA" w:rsidRPr="003256F8">
        <w:rPr>
          <w:color w:val="auto"/>
        </w:rPr>
        <w:t xml:space="preserve"> yaşamıştır.</w:t>
      </w:r>
    </w:p>
    <w:p w:rsidR="004549EA" w:rsidRPr="003256F8" w:rsidRDefault="004549EA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/>
          <w:iCs/>
          <w:color w:val="auto"/>
        </w:rPr>
        <w:t xml:space="preserve">Tedavi: </w:t>
      </w:r>
      <w:r w:rsidRPr="003256F8">
        <w:rPr>
          <w:color w:val="auto"/>
        </w:rPr>
        <w:t xml:space="preserve">Doz aşımı durumunda, tedavi </w:t>
      </w:r>
      <w:proofErr w:type="spellStart"/>
      <w:r w:rsidRPr="003256F8">
        <w:rPr>
          <w:color w:val="auto"/>
        </w:rPr>
        <w:t>semptomatik</w:t>
      </w:r>
      <w:proofErr w:type="spellEnd"/>
      <w:r w:rsidRPr="003256F8">
        <w:rPr>
          <w:color w:val="auto"/>
        </w:rPr>
        <w:t xml:space="preserve"> olmalıdır.</w:t>
      </w:r>
      <w:r w:rsidR="00CA153C" w:rsidRPr="003256F8">
        <w:rPr>
          <w:color w:val="auto"/>
        </w:rPr>
        <w:t xml:space="preserve"> Zehirlenme veya doz aşımı için </w:t>
      </w:r>
      <w:proofErr w:type="gramStart"/>
      <w:r w:rsidRPr="003256F8">
        <w:rPr>
          <w:color w:val="auto"/>
        </w:rPr>
        <w:t>spesifik</w:t>
      </w:r>
      <w:proofErr w:type="gramEnd"/>
      <w:r w:rsidRPr="003256F8">
        <w:rPr>
          <w:color w:val="auto"/>
        </w:rPr>
        <w:t xml:space="preserve"> bir antidot mevcut değildir. İlaç maddesini uza</w:t>
      </w:r>
      <w:r w:rsidR="00CA153C" w:rsidRPr="003256F8">
        <w:rPr>
          <w:color w:val="auto"/>
        </w:rPr>
        <w:t xml:space="preserve">klaştırmak için </w:t>
      </w:r>
      <w:proofErr w:type="spellStart"/>
      <w:r w:rsidR="00CA153C" w:rsidRPr="003256F8">
        <w:rPr>
          <w:color w:val="auto"/>
        </w:rPr>
        <w:t>standard</w:t>
      </w:r>
      <w:proofErr w:type="spellEnd"/>
      <w:r w:rsidR="00CA153C" w:rsidRPr="003256F8">
        <w:rPr>
          <w:color w:val="auto"/>
        </w:rPr>
        <w:t xml:space="preserve"> klinik </w:t>
      </w:r>
      <w:proofErr w:type="gramStart"/>
      <w:r w:rsidRPr="003256F8">
        <w:rPr>
          <w:color w:val="auto"/>
        </w:rPr>
        <w:t>prosedürler</w:t>
      </w:r>
      <w:proofErr w:type="gramEnd"/>
      <w:r w:rsidRPr="003256F8">
        <w:rPr>
          <w:color w:val="auto"/>
        </w:rPr>
        <w:t xml:space="preserve">, örn. </w:t>
      </w:r>
      <w:proofErr w:type="spellStart"/>
      <w:r w:rsidRPr="003256F8">
        <w:rPr>
          <w:color w:val="auto"/>
        </w:rPr>
        <w:t>gastrik</w:t>
      </w:r>
      <w:proofErr w:type="spellEnd"/>
      <w:r w:rsidRPr="003256F8">
        <w:rPr>
          <w:color w:val="auto"/>
        </w:rPr>
        <w:t xml:space="preserve"> lavaj, aktif kömür (potansiyel </w:t>
      </w:r>
      <w:proofErr w:type="spellStart"/>
      <w:r w:rsidRPr="003256F8">
        <w:rPr>
          <w:color w:val="auto"/>
        </w:rPr>
        <w:t>entero</w:t>
      </w:r>
      <w:proofErr w:type="spellEnd"/>
      <w:r w:rsidRPr="003256F8">
        <w:rPr>
          <w:color w:val="auto"/>
        </w:rPr>
        <w:t>-</w:t>
      </w:r>
      <w:proofErr w:type="spellStart"/>
      <w:r w:rsidRPr="003256F8">
        <w:rPr>
          <w:color w:val="auto"/>
        </w:rPr>
        <w:t>hepatik</w:t>
      </w:r>
      <w:proofErr w:type="spellEnd"/>
      <w:r w:rsidRPr="003256F8">
        <w:rPr>
          <w:color w:val="auto"/>
        </w:rPr>
        <w:t xml:space="preserve"> geri dönüşün durdurulması), idrarın asitleştirilmesi, zorunlu </w:t>
      </w:r>
      <w:proofErr w:type="spellStart"/>
      <w:r w:rsidRPr="003256F8">
        <w:rPr>
          <w:color w:val="auto"/>
        </w:rPr>
        <w:t>diürez</w:t>
      </w:r>
      <w:proofErr w:type="spellEnd"/>
      <w:r w:rsidRPr="003256F8">
        <w:rPr>
          <w:color w:val="auto"/>
        </w:rPr>
        <w:t xml:space="preserve"> uygu</w:t>
      </w:r>
      <w:r w:rsidR="004549EA" w:rsidRPr="003256F8">
        <w:rPr>
          <w:color w:val="auto"/>
        </w:rPr>
        <w:t>n olan şekilde kullanılmalıdır.</w:t>
      </w:r>
    </w:p>
    <w:p w:rsidR="004549EA" w:rsidRPr="003256F8" w:rsidRDefault="004549EA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Genel santral sinir sistemi aşırı uyarılmasına dair belirtiler veya </w:t>
      </w:r>
      <w:proofErr w:type="gramStart"/>
      <w:r w:rsidRPr="003256F8">
        <w:rPr>
          <w:color w:val="auto"/>
        </w:rPr>
        <w:t>semptomlar</w:t>
      </w:r>
      <w:proofErr w:type="gramEnd"/>
      <w:r w:rsidRPr="003256F8">
        <w:rPr>
          <w:color w:val="auto"/>
        </w:rPr>
        <w:t xml:space="preserve"> varsa, dikkatli </w:t>
      </w:r>
      <w:proofErr w:type="spellStart"/>
      <w:r w:rsidRPr="003256F8">
        <w:rPr>
          <w:color w:val="auto"/>
        </w:rPr>
        <w:t>semptomati</w:t>
      </w:r>
      <w:r w:rsidR="003C6A40" w:rsidRPr="003256F8">
        <w:rPr>
          <w:color w:val="auto"/>
        </w:rPr>
        <w:t>k</w:t>
      </w:r>
      <w:proofErr w:type="spellEnd"/>
      <w:r w:rsidR="003C6A40" w:rsidRPr="003256F8">
        <w:rPr>
          <w:color w:val="auto"/>
        </w:rPr>
        <w:t xml:space="preserve"> klinik tedavi düşünülmelidir.</w:t>
      </w:r>
    </w:p>
    <w:p w:rsidR="003C6A40" w:rsidRPr="003256F8" w:rsidRDefault="003C6A40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5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FARMAKOLOJİK ÖZELLİKLER </w:t>
      </w: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5.1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Farmakodinamik özellikler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Farmakoterapötik grup: </w:t>
      </w:r>
      <w:proofErr w:type="spellStart"/>
      <w:r w:rsidRPr="003256F8">
        <w:rPr>
          <w:color w:val="auto"/>
        </w:rPr>
        <w:t>Antidemans</w:t>
      </w:r>
      <w:proofErr w:type="spellEnd"/>
      <w:r w:rsidRPr="003256F8">
        <w:rPr>
          <w:color w:val="auto"/>
        </w:rPr>
        <w:t xml:space="preserve"> ilaçları, ATC kodu: N06DX01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Özellikle N-metil-D-</w:t>
      </w:r>
      <w:proofErr w:type="spellStart"/>
      <w:r w:rsidRPr="003256F8">
        <w:rPr>
          <w:color w:val="auto"/>
        </w:rPr>
        <w:t>aspartat</w:t>
      </w:r>
      <w:proofErr w:type="spellEnd"/>
      <w:r w:rsidRPr="003256F8">
        <w:rPr>
          <w:color w:val="auto"/>
        </w:rPr>
        <w:t xml:space="preserve"> (NMDA) reseptörlerindeki </w:t>
      </w:r>
      <w:proofErr w:type="spellStart"/>
      <w:r w:rsidRPr="003256F8">
        <w:rPr>
          <w:color w:val="auto"/>
        </w:rPr>
        <w:t>glutamaterjik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nörotransmisyon</w:t>
      </w:r>
      <w:proofErr w:type="spellEnd"/>
      <w:r w:rsidRPr="003256F8">
        <w:rPr>
          <w:color w:val="auto"/>
        </w:rPr>
        <w:t xml:space="preserve"> fonksiyon bozukluğunun, </w:t>
      </w:r>
      <w:proofErr w:type="spellStart"/>
      <w:r w:rsidRPr="003256F8">
        <w:rPr>
          <w:color w:val="auto"/>
        </w:rPr>
        <w:t>nörodejeneratif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demansta</w:t>
      </w:r>
      <w:proofErr w:type="spellEnd"/>
      <w:r w:rsidRPr="003256F8">
        <w:rPr>
          <w:color w:val="auto"/>
        </w:rPr>
        <w:t xml:space="preserve"> </w:t>
      </w:r>
      <w:proofErr w:type="gramStart"/>
      <w:r w:rsidRPr="003256F8">
        <w:rPr>
          <w:color w:val="auto"/>
        </w:rPr>
        <w:t>semptomların</w:t>
      </w:r>
      <w:proofErr w:type="gramEnd"/>
      <w:r w:rsidRPr="003256F8">
        <w:rPr>
          <w:color w:val="auto"/>
        </w:rPr>
        <w:t xml:space="preserve"> ortaya çıkması ve hastalığın ilerlemesine katkıda bulunduğuna dair gittikçe artan kanıtlar mevcuttur. </w:t>
      </w:r>
    </w:p>
    <w:p w:rsidR="00571EFE" w:rsidRPr="003256F8" w:rsidRDefault="00571EFE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; voltaj-bağımlı, orta </w:t>
      </w:r>
      <w:proofErr w:type="spellStart"/>
      <w:r w:rsidRPr="003256F8">
        <w:rPr>
          <w:color w:val="auto"/>
        </w:rPr>
        <w:t>afiniteli</w:t>
      </w:r>
      <w:proofErr w:type="spellEnd"/>
      <w:r w:rsidRPr="003256F8">
        <w:rPr>
          <w:color w:val="auto"/>
        </w:rPr>
        <w:t xml:space="preserve"> ve </w:t>
      </w:r>
      <w:proofErr w:type="gramStart"/>
      <w:r w:rsidRPr="003256F8">
        <w:rPr>
          <w:color w:val="auto"/>
        </w:rPr>
        <w:t>kompetitif</w:t>
      </w:r>
      <w:proofErr w:type="gramEnd"/>
      <w:r w:rsidRPr="003256F8">
        <w:rPr>
          <w:color w:val="auto"/>
        </w:rPr>
        <w:t xml:space="preserve"> olmayan bir N-metil-D-</w:t>
      </w:r>
      <w:proofErr w:type="spellStart"/>
      <w:r w:rsidRPr="003256F8">
        <w:rPr>
          <w:color w:val="auto"/>
        </w:rPr>
        <w:t>aspartat</w:t>
      </w:r>
      <w:proofErr w:type="spellEnd"/>
      <w:r w:rsidRPr="003256F8">
        <w:rPr>
          <w:color w:val="auto"/>
        </w:rPr>
        <w:t xml:space="preserve"> (NMDA) reseptör antagonistidir. Patolojik olarak yükselmiş, nöron işlev kaybına yol açabilen, </w:t>
      </w:r>
      <w:proofErr w:type="spellStart"/>
      <w:r w:rsidRPr="003256F8">
        <w:rPr>
          <w:color w:val="auto"/>
        </w:rPr>
        <w:t>glutamat</w:t>
      </w:r>
      <w:proofErr w:type="spellEnd"/>
      <w:r w:rsidRPr="003256F8">
        <w:rPr>
          <w:color w:val="auto"/>
        </w:rPr>
        <w:t xml:space="preserve"> tonik seviye</w:t>
      </w:r>
      <w:r w:rsidR="00AA4B68" w:rsidRPr="003256F8">
        <w:rPr>
          <w:color w:val="auto"/>
        </w:rPr>
        <w:t xml:space="preserve">lerinin etkilerini </w:t>
      </w:r>
      <w:proofErr w:type="gramStart"/>
      <w:r w:rsidR="00AA4B68" w:rsidRPr="003256F8">
        <w:rPr>
          <w:color w:val="auto"/>
        </w:rPr>
        <w:t>modüle</w:t>
      </w:r>
      <w:proofErr w:type="gramEnd"/>
      <w:r w:rsidR="00AA4B68" w:rsidRPr="003256F8">
        <w:rPr>
          <w:color w:val="auto"/>
        </w:rPr>
        <w:t xml:space="preserve"> eder.</w:t>
      </w:r>
    </w:p>
    <w:p w:rsidR="00AA4B68" w:rsidRPr="003256F8" w:rsidRDefault="00AA4B68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/>
          <w:iCs/>
          <w:color w:val="auto"/>
        </w:rPr>
        <w:t xml:space="preserve">Klinik çalışmalar: </w:t>
      </w:r>
      <w:r w:rsidRPr="003256F8">
        <w:rPr>
          <w:color w:val="auto"/>
        </w:rPr>
        <w:t xml:space="preserve">Orta ve şiddetli Alzheimer hastalarında (MMSE-Mini </w:t>
      </w:r>
      <w:proofErr w:type="spellStart"/>
      <w:r w:rsidRPr="003256F8">
        <w:rPr>
          <w:color w:val="auto"/>
        </w:rPr>
        <w:t>mental</w:t>
      </w:r>
      <w:proofErr w:type="spellEnd"/>
      <w:r w:rsidRPr="003256F8">
        <w:rPr>
          <w:color w:val="auto"/>
        </w:rPr>
        <w:t xml:space="preserve"> durum muayenesi başlangıç toplam skorları 3-14 olan) yapılan bir </w:t>
      </w:r>
      <w:proofErr w:type="spellStart"/>
      <w:r w:rsidRPr="003256F8">
        <w:rPr>
          <w:color w:val="auto"/>
        </w:rPr>
        <w:t>pivotal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monoterapi</w:t>
      </w:r>
      <w:proofErr w:type="spellEnd"/>
      <w:r w:rsidRPr="003256F8">
        <w:rPr>
          <w:color w:val="auto"/>
        </w:rPr>
        <w:t xml:space="preserve"> çalışmasına ayaktan tedavi gören 252 hasta </w:t>
      </w:r>
      <w:proofErr w:type="gramStart"/>
      <w:r w:rsidRPr="003256F8">
        <w:rPr>
          <w:color w:val="auto"/>
        </w:rPr>
        <w:t>dahil</w:t>
      </w:r>
      <w:proofErr w:type="gramEnd"/>
      <w:r w:rsidRPr="003256F8">
        <w:rPr>
          <w:color w:val="auto"/>
        </w:rPr>
        <w:t xml:space="preserve"> edilmiştir. Çalışma, 6 ayda,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tedavisinin, </w:t>
      </w:r>
      <w:proofErr w:type="spellStart"/>
      <w:r w:rsidRPr="003256F8">
        <w:rPr>
          <w:color w:val="auto"/>
        </w:rPr>
        <w:t>plaseboya</w:t>
      </w:r>
      <w:proofErr w:type="spellEnd"/>
      <w:r w:rsidRPr="003256F8">
        <w:rPr>
          <w:color w:val="auto"/>
        </w:rPr>
        <w:t xml:space="preserve"> kıyasla, yararlı etkileri olduğunu göstermiştir (CIBIC-</w:t>
      </w:r>
      <w:proofErr w:type="spellStart"/>
      <w:r w:rsidRPr="003256F8">
        <w:rPr>
          <w:color w:val="auto"/>
        </w:rPr>
        <w:t>plus</w:t>
      </w:r>
      <w:proofErr w:type="spellEnd"/>
      <w:r w:rsidRPr="003256F8">
        <w:rPr>
          <w:color w:val="auto"/>
        </w:rPr>
        <w:t xml:space="preserve"> (</w:t>
      </w:r>
      <w:proofErr w:type="spellStart"/>
      <w:r w:rsidRPr="003256F8">
        <w:rPr>
          <w:color w:val="auto"/>
        </w:rPr>
        <w:t>Klinisyenin</w:t>
      </w:r>
      <w:proofErr w:type="spellEnd"/>
      <w:r w:rsidRPr="003256F8">
        <w:rPr>
          <w:color w:val="auto"/>
        </w:rPr>
        <w:t xml:space="preserve"> görüşmeye dayalı değişim izlenimi): p=0.025; ADCS-</w:t>
      </w:r>
      <w:proofErr w:type="spellStart"/>
      <w:r w:rsidRPr="003256F8">
        <w:rPr>
          <w:color w:val="auto"/>
        </w:rPr>
        <w:t>ADLsev</w:t>
      </w:r>
      <w:proofErr w:type="spellEnd"/>
      <w:r w:rsidRPr="003256F8">
        <w:rPr>
          <w:color w:val="auto"/>
        </w:rPr>
        <w:t xml:space="preserve"> (Alzheimer Hastalığı İşbirliği Çalışması-Günlük yaşam aktiviteleri): p=0.003; SIB-Şiddetli yıkım ölçeği p=0.002 için </w:t>
      </w:r>
      <w:r w:rsidR="00AA4B68" w:rsidRPr="003256F8">
        <w:rPr>
          <w:color w:val="auto"/>
        </w:rPr>
        <w:t>gözlemlenen vakaların analizi).</w:t>
      </w:r>
    </w:p>
    <w:p w:rsidR="00AA4B68" w:rsidRPr="003256F8" w:rsidRDefault="00AA4B68" w:rsidP="00901B13">
      <w:pPr>
        <w:pStyle w:val="Default"/>
        <w:spacing w:line="360" w:lineRule="auto"/>
        <w:jc w:val="both"/>
        <w:rPr>
          <w:color w:val="auto"/>
        </w:rPr>
      </w:pPr>
    </w:p>
    <w:p w:rsidR="00AA4B68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Hafif ve orta şiddette Alzheimer hastalığı (MMSE başlangıç toplam skorları 10 – 22 olan) tedavisinde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pivotal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monoterapi</w:t>
      </w:r>
      <w:proofErr w:type="spellEnd"/>
      <w:r w:rsidRPr="003256F8">
        <w:rPr>
          <w:color w:val="auto"/>
        </w:rPr>
        <w:t xml:space="preserve"> çalışmasına 403 hasta </w:t>
      </w:r>
      <w:proofErr w:type="gramStart"/>
      <w:r w:rsidRPr="003256F8">
        <w:rPr>
          <w:color w:val="auto"/>
        </w:rPr>
        <w:t>dahil</w:t>
      </w:r>
      <w:proofErr w:type="gramEnd"/>
      <w:r w:rsidRPr="003256F8">
        <w:rPr>
          <w:color w:val="auto"/>
        </w:rPr>
        <w:t xml:space="preserve"> edilmiştir.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tedavi edilen hastalar, </w:t>
      </w:r>
      <w:proofErr w:type="spellStart"/>
      <w:r w:rsidRPr="003256F8">
        <w:rPr>
          <w:color w:val="auto"/>
        </w:rPr>
        <w:t>plasebo</w:t>
      </w:r>
      <w:proofErr w:type="spellEnd"/>
      <w:r w:rsidRPr="003256F8">
        <w:rPr>
          <w:color w:val="auto"/>
        </w:rPr>
        <w:t xml:space="preserve"> ile tedavi edilen hastalara göre, şu </w:t>
      </w:r>
      <w:proofErr w:type="spellStart"/>
      <w:r w:rsidRPr="003256F8">
        <w:rPr>
          <w:color w:val="auto"/>
        </w:rPr>
        <w:t>primer</w:t>
      </w:r>
      <w:proofErr w:type="spellEnd"/>
      <w:r w:rsidRPr="003256F8">
        <w:rPr>
          <w:color w:val="auto"/>
        </w:rPr>
        <w:t xml:space="preserve"> sonlanma noktaları açısından istatistiksel olarak anlamlı şekilde daha iyi etki göstermiştir: 24. haftada (LOCF-İleri taşınmış son gözlem), ADAS-</w:t>
      </w:r>
      <w:proofErr w:type="spellStart"/>
      <w:r w:rsidRPr="003256F8">
        <w:rPr>
          <w:color w:val="auto"/>
        </w:rPr>
        <w:t>cog</w:t>
      </w:r>
      <w:proofErr w:type="spellEnd"/>
      <w:r w:rsidRPr="003256F8">
        <w:rPr>
          <w:color w:val="auto"/>
        </w:rPr>
        <w:t xml:space="preserve"> (Alzheimer hastalığı değerlendirme ölçeği) (p=0.003) ve CIBIC-</w:t>
      </w:r>
      <w:proofErr w:type="spellStart"/>
      <w:r w:rsidRPr="003256F8">
        <w:rPr>
          <w:color w:val="auto"/>
        </w:rPr>
        <w:t>plus</w:t>
      </w:r>
      <w:proofErr w:type="spellEnd"/>
      <w:r w:rsidRPr="003256F8">
        <w:rPr>
          <w:color w:val="auto"/>
        </w:rPr>
        <w:t xml:space="preserve"> (p=0.004). Hafif ve orta şiddetli Alzheimer Hastalığının bir başka </w:t>
      </w:r>
      <w:proofErr w:type="spellStart"/>
      <w:r w:rsidRPr="003256F8">
        <w:rPr>
          <w:color w:val="auto"/>
        </w:rPr>
        <w:t>monoterapi</w:t>
      </w:r>
      <w:proofErr w:type="spellEnd"/>
      <w:r w:rsidRPr="003256F8">
        <w:rPr>
          <w:color w:val="auto"/>
        </w:rPr>
        <w:t xml:space="preserve"> çalışmasına toplam 470 hasta (MMSE başlangıç toplam skorları 11 – 23) </w:t>
      </w:r>
      <w:proofErr w:type="spellStart"/>
      <w:r w:rsidRPr="003256F8">
        <w:rPr>
          <w:color w:val="auto"/>
        </w:rPr>
        <w:t>randomize</w:t>
      </w:r>
      <w:proofErr w:type="spellEnd"/>
      <w:r w:rsidRPr="003256F8">
        <w:rPr>
          <w:color w:val="auto"/>
        </w:rPr>
        <w:t xml:space="preserve"> edilmiştir. </w:t>
      </w:r>
      <w:proofErr w:type="spellStart"/>
      <w:r w:rsidRPr="003256F8">
        <w:rPr>
          <w:color w:val="auto"/>
        </w:rPr>
        <w:t>Prospektif</w:t>
      </w:r>
      <w:proofErr w:type="spellEnd"/>
      <w:r w:rsidRPr="003256F8">
        <w:rPr>
          <w:color w:val="auto"/>
        </w:rPr>
        <w:t xml:space="preserve"> olarak tanımlanmış </w:t>
      </w:r>
      <w:proofErr w:type="spellStart"/>
      <w:r w:rsidRPr="003256F8">
        <w:rPr>
          <w:color w:val="auto"/>
        </w:rPr>
        <w:t>primer</w:t>
      </w:r>
      <w:proofErr w:type="spellEnd"/>
      <w:r w:rsidRPr="003256F8">
        <w:rPr>
          <w:color w:val="auto"/>
        </w:rPr>
        <w:t xml:space="preserve"> analizde, 24. haftada </w:t>
      </w:r>
      <w:proofErr w:type="spellStart"/>
      <w:r w:rsidRPr="003256F8">
        <w:rPr>
          <w:color w:val="auto"/>
        </w:rPr>
        <w:t>primer</w:t>
      </w:r>
      <w:proofErr w:type="spellEnd"/>
      <w:r w:rsidRPr="003256F8">
        <w:rPr>
          <w:color w:val="auto"/>
        </w:rPr>
        <w:t xml:space="preserve"> etkinlik sonlanma noktasında istatistiksel olarak anlam taşıyan bir değere ulaşılmamıştır.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lastRenderedPageBreak/>
        <w:t xml:space="preserve">Orta ve şiddetli Alzheimer hastalığı (MMSE toplam skorları &lt;20) olan hastalarla yürütülen 6 farklı faz III, </w:t>
      </w:r>
      <w:proofErr w:type="spellStart"/>
      <w:r w:rsidRPr="003256F8">
        <w:rPr>
          <w:color w:val="auto"/>
        </w:rPr>
        <w:t>plasebo</w:t>
      </w:r>
      <w:proofErr w:type="spellEnd"/>
      <w:r w:rsidRPr="003256F8">
        <w:rPr>
          <w:color w:val="auto"/>
        </w:rPr>
        <w:t xml:space="preserve"> kontrollü, 6 aylık çalışmadaki (</w:t>
      </w:r>
      <w:proofErr w:type="spellStart"/>
      <w:r w:rsidRPr="003256F8">
        <w:rPr>
          <w:color w:val="auto"/>
        </w:rPr>
        <w:t>monoterapi</w:t>
      </w:r>
      <w:proofErr w:type="spellEnd"/>
      <w:r w:rsidRPr="003256F8">
        <w:rPr>
          <w:color w:val="auto"/>
        </w:rPr>
        <w:t xml:space="preserve"> çalışmaları ve </w:t>
      </w:r>
      <w:proofErr w:type="spellStart"/>
      <w:r w:rsidRPr="003256F8">
        <w:rPr>
          <w:color w:val="auto"/>
        </w:rPr>
        <w:t>asetilkolinesteraz</w:t>
      </w:r>
      <w:proofErr w:type="spellEnd"/>
      <w:r w:rsidRPr="003256F8">
        <w:rPr>
          <w:color w:val="auto"/>
        </w:rPr>
        <w:t xml:space="preserve"> inhibitörlerinin </w:t>
      </w:r>
      <w:proofErr w:type="gramStart"/>
      <w:r w:rsidRPr="003256F8">
        <w:rPr>
          <w:color w:val="auto"/>
        </w:rPr>
        <w:t>stabil</w:t>
      </w:r>
      <w:proofErr w:type="gramEnd"/>
      <w:r w:rsidRPr="003256F8">
        <w:rPr>
          <w:color w:val="auto"/>
        </w:rPr>
        <w:t xml:space="preserve"> bir dozunu alan hastaların katıldığı çalışmalar dahil) hastaların meta-analizi,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tedavisinin, </w:t>
      </w:r>
      <w:proofErr w:type="spellStart"/>
      <w:r w:rsidRPr="003256F8">
        <w:rPr>
          <w:color w:val="auto"/>
        </w:rPr>
        <w:t>kognitif</w:t>
      </w:r>
      <w:proofErr w:type="spellEnd"/>
      <w:r w:rsidRPr="003256F8">
        <w:rPr>
          <w:color w:val="auto"/>
        </w:rPr>
        <w:t xml:space="preserve">, global ve fonksiyonel alanlarda istatistiksel olarak anlamlı şekilde daha iyi etki oluşturduğunu göstermiştir. Hastalar bu üç alanda eşzamanlı meydana gelen kötüleşme ile tanımlandığında, sonuçlar, </w:t>
      </w:r>
      <w:proofErr w:type="spellStart"/>
      <w:r w:rsidRPr="003256F8">
        <w:rPr>
          <w:color w:val="auto"/>
        </w:rPr>
        <w:t>plasebo</w:t>
      </w:r>
      <w:proofErr w:type="spellEnd"/>
      <w:r w:rsidRPr="003256F8">
        <w:rPr>
          <w:color w:val="auto"/>
        </w:rPr>
        <w:t xml:space="preserve"> verilen birçok hastada bu kötüleşmenin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tedavisi gören hastaların iki katı şeklinde ortaya çıkması </w:t>
      </w:r>
      <w:proofErr w:type="gramStart"/>
      <w:r w:rsidRPr="003256F8">
        <w:rPr>
          <w:color w:val="auto"/>
        </w:rPr>
        <w:t>ile,</w:t>
      </w:r>
      <w:proofErr w:type="gram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kötüye gidişi önleyici etkisinin, istatistiksel olarak anlamlı olduğunu göstermiştir (%21 ve %11, p&lt;0.0001).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b/>
          <w:bCs/>
          <w:color w:val="auto"/>
        </w:rPr>
      </w:pPr>
      <w:r w:rsidRPr="003256F8">
        <w:rPr>
          <w:b/>
          <w:bCs/>
          <w:color w:val="auto"/>
        </w:rPr>
        <w:t>5.2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</w:t>
      </w:r>
      <w:proofErr w:type="spellStart"/>
      <w:r w:rsidRPr="003256F8">
        <w:rPr>
          <w:b/>
          <w:bCs/>
          <w:color w:val="auto"/>
        </w:rPr>
        <w:t>Farmakokinetik</w:t>
      </w:r>
      <w:proofErr w:type="spellEnd"/>
      <w:r w:rsidRPr="003256F8">
        <w:rPr>
          <w:b/>
          <w:bCs/>
          <w:color w:val="auto"/>
        </w:rPr>
        <w:t xml:space="preserve"> özellikler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Cs/>
          <w:color w:val="auto"/>
          <w:u w:val="single"/>
        </w:rPr>
        <w:t>Emilim:</w:t>
      </w:r>
      <w:r w:rsidRPr="003256F8">
        <w:rPr>
          <w:i/>
          <w:iCs/>
          <w:color w:val="auto"/>
        </w:rPr>
        <w:t xml:space="preserve">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yaklaşık %100’lük mutlak </w:t>
      </w:r>
      <w:proofErr w:type="spellStart"/>
      <w:r w:rsidRPr="003256F8">
        <w:rPr>
          <w:color w:val="auto"/>
        </w:rPr>
        <w:t>biyoyararlanıma</w:t>
      </w:r>
      <w:proofErr w:type="spellEnd"/>
      <w:r w:rsidRPr="003256F8">
        <w:rPr>
          <w:color w:val="auto"/>
        </w:rPr>
        <w:t xml:space="preserve"> sahiptir. </w:t>
      </w:r>
      <w:proofErr w:type="spellStart"/>
      <w:r w:rsidR="000A177B" w:rsidRPr="003256F8">
        <w:rPr>
          <w:color w:val="auto"/>
        </w:rPr>
        <w:t>t</w:t>
      </w:r>
      <w:r w:rsidR="000A177B" w:rsidRPr="003256F8">
        <w:rPr>
          <w:color w:val="auto"/>
          <w:vertAlign w:val="subscript"/>
        </w:rPr>
        <w:t>ma</w:t>
      </w:r>
      <w:r w:rsidR="009256D6" w:rsidRPr="003256F8">
        <w:rPr>
          <w:color w:val="auto"/>
          <w:vertAlign w:val="subscript"/>
        </w:rPr>
        <w:t>ks</w:t>
      </w:r>
      <w:proofErr w:type="spellEnd"/>
      <w:r w:rsidRPr="003256F8">
        <w:rPr>
          <w:color w:val="auto"/>
          <w:position w:val="-10"/>
          <w:vertAlign w:val="subscript"/>
        </w:rPr>
        <w:t xml:space="preserve"> </w:t>
      </w:r>
      <w:r w:rsidR="00CA153C" w:rsidRPr="003256F8">
        <w:rPr>
          <w:color w:val="auto"/>
        </w:rPr>
        <w:t xml:space="preserve">değeri 3-8 </w:t>
      </w:r>
      <w:r w:rsidRPr="003256F8">
        <w:rPr>
          <w:color w:val="auto"/>
        </w:rPr>
        <w:t xml:space="preserve">saattir.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emilimi gıda alımından etkilenmez.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Cs/>
          <w:color w:val="auto"/>
          <w:u w:val="single"/>
        </w:rPr>
        <w:t>Dağılım:</w:t>
      </w:r>
      <w:r w:rsidRPr="003256F8">
        <w:rPr>
          <w:i/>
          <w:iCs/>
          <w:color w:val="auto"/>
        </w:rPr>
        <w:t xml:space="preserve"> </w:t>
      </w:r>
      <w:r w:rsidRPr="003256F8">
        <w:rPr>
          <w:color w:val="auto"/>
        </w:rPr>
        <w:t xml:space="preserve">Günlük olarak alınan 20 mg dozlar, 70–150 </w:t>
      </w:r>
      <w:proofErr w:type="spellStart"/>
      <w:r w:rsidRPr="003256F8">
        <w:rPr>
          <w:color w:val="auto"/>
        </w:rPr>
        <w:t>ng</w:t>
      </w:r>
      <w:proofErr w:type="spellEnd"/>
      <w:r w:rsidRPr="003256F8">
        <w:rPr>
          <w:color w:val="auto"/>
        </w:rPr>
        <w:t>/ml (</w:t>
      </w:r>
      <w:proofErr w:type="gramStart"/>
      <w:r w:rsidRPr="003256F8">
        <w:rPr>
          <w:color w:val="auto"/>
        </w:rPr>
        <w:t>0.5</w:t>
      </w:r>
      <w:proofErr w:type="gramEnd"/>
      <w:r w:rsidRPr="003256F8">
        <w:rPr>
          <w:color w:val="auto"/>
        </w:rPr>
        <w:t xml:space="preserve">–1 </w:t>
      </w:r>
      <w:r w:rsidR="00424B09" w:rsidRPr="003256F8">
        <w:rPr>
          <w:color w:val="auto"/>
        </w:rPr>
        <w:t>µ</w:t>
      </w:r>
      <w:proofErr w:type="spellStart"/>
      <w:r w:rsidRPr="003256F8">
        <w:rPr>
          <w:color w:val="auto"/>
        </w:rPr>
        <w:t>mol</w:t>
      </w:r>
      <w:proofErr w:type="spellEnd"/>
      <w:r w:rsidRPr="003256F8">
        <w:rPr>
          <w:color w:val="auto"/>
        </w:rPr>
        <w:t xml:space="preserve">) arasında kişiden kişiye büyük değişim gösteren sabit durum plazma konsantrasyonları ile sonlanmıştır. 5-30 </w:t>
      </w:r>
      <w:proofErr w:type="spellStart"/>
      <w:r w:rsidRPr="003256F8">
        <w:rPr>
          <w:color w:val="auto"/>
        </w:rPr>
        <w:t>mg’lık</w:t>
      </w:r>
      <w:proofErr w:type="spellEnd"/>
      <w:r w:rsidRPr="003256F8">
        <w:rPr>
          <w:color w:val="auto"/>
        </w:rPr>
        <w:t xml:space="preserve"> günlük dozlar alındığında, ortalama beyin omurilik sıvısı (BOS)/serum oranı 0.52 olarak hesaplanmıştır. Dağılım hacmi yaklaşık 10 l/</w:t>
      </w:r>
      <w:proofErr w:type="spellStart"/>
      <w:r w:rsidRPr="003256F8">
        <w:rPr>
          <w:color w:val="auto"/>
        </w:rPr>
        <w:t>kg’dır</w:t>
      </w:r>
      <w:proofErr w:type="spellEnd"/>
      <w:r w:rsidRPr="003256F8">
        <w:rPr>
          <w:color w:val="auto"/>
        </w:rPr>
        <w:t xml:space="preserve">.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% 45’i plazma proteinlerine bağlanır. </w:t>
      </w:r>
    </w:p>
    <w:p w:rsidR="00727EEB" w:rsidRPr="003256F8" w:rsidRDefault="00727EEB" w:rsidP="00901B13">
      <w:pPr>
        <w:pStyle w:val="Default"/>
        <w:spacing w:line="360" w:lineRule="auto"/>
        <w:jc w:val="both"/>
        <w:rPr>
          <w:color w:val="auto"/>
        </w:rPr>
      </w:pPr>
    </w:p>
    <w:p w:rsidR="00901C3F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iCs/>
          <w:color w:val="auto"/>
          <w:u w:val="single"/>
        </w:rPr>
        <w:t>Biyotransformasyon</w:t>
      </w:r>
      <w:proofErr w:type="spellEnd"/>
      <w:r w:rsidRPr="003256F8">
        <w:rPr>
          <w:iCs/>
          <w:color w:val="auto"/>
          <w:u w:val="single"/>
        </w:rPr>
        <w:t>:</w:t>
      </w:r>
      <w:r w:rsidRPr="003256F8">
        <w:rPr>
          <w:i/>
          <w:iCs/>
          <w:color w:val="auto"/>
        </w:rPr>
        <w:t xml:space="preserve"> </w:t>
      </w:r>
      <w:r w:rsidRPr="003256F8">
        <w:rPr>
          <w:color w:val="auto"/>
        </w:rPr>
        <w:t xml:space="preserve">İnsanlarda dolaşımdaki </w:t>
      </w:r>
      <w:proofErr w:type="spellStart"/>
      <w:r w:rsidRPr="003256F8">
        <w:rPr>
          <w:color w:val="auto"/>
        </w:rPr>
        <w:t>memantinle</w:t>
      </w:r>
      <w:proofErr w:type="spellEnd"/>
      <w:r w:rsidRPr="003256F8">
        <w:rPr>
          <w:color w:val="auto"/>
        </w:rPr>
        <w:t xml:space="preserve"> ilişkili maddelerin % 80’i ana bileşik biçimindedir. İnsanlardaki ana </w:t>
      </w:r>
      <w:proofErr w:type="spellStart"/>
      <w:r w:rsidRPr="003256F8">
        <w:rPr>
          <w:color w:val="auto"/>
        </w:rPr>
        <w:t>metabolitler</w:t>
      </w:r>
      <w:proofErr w:type="spellEnd"/>
      <w:r w:rsidRPr="003256F8">
        <w:rPr>
          <w:color w:val="auto"/>
        </w:rPr>
        <w:t xml:space="preserve"> N-3,5-</w:t>
      </w:r>
      <w:proofErr w:type="spellStart"/>
      <w:r w:rsidRPr="003256F8">
        <w:rPr>
          <w:color w:val="auto"/>
        </w:rPr>
        <w:t>dimetil</w:t>
      </w:r>
      <w:proofErr w:type="spellEnd"/>
      <w:r w:rsidRPr="003256F8">
        <w:rPr>
          <w:color w:val="auto"/>
        </w:rPr>
        <w:t>-</w:t>
      </w:r>
      <w:proofErr w:type="spellStart"/>
      <w:r w:rsidRPr="003256F8">
        <w:rPr>
          <w:color w:val="auto"/>
        </w:rPr>
        <w:t>gludantan</w:t>
      </w:r>
      <w:proofErr w:type="spellEnd"/>
      <w:r w:rsidRPr="003256F8">
        <w:rPr>
          <w:color w:val="auto"/>
        </w:rPr>
        <w:t>, 4- ve 6-</w:t>
      </w:r>
      <w:proofErr w:type="spellStart"/>
      <w:r w:rsidRPr="003256F8">
        <w:rPr>
          <w:color w:val="auto"/>
        </w:rPr>
        <w:t>hidroksi</w:t>
      </w:r>
      <w:proofErr w:type="spellEnd"/>
      <w:r w:rsidRPr="003256F8">
        <w:rPr>
          <w:color w:val="auto"/>
        </w:rPr>
        <w:t>-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izomerik karışımı ve 1-</w:t>
      </w:r>
      <w:proofErr w:type="spellStart"/>
      <w:r w:rsidRPr="003256F8">
        <w:rPr>
          <w:color w:val="auto"/>
        </w:rPr>
        <w:t>nitrozo</w:t>
      </w:r>
      <w:proofErr w:type="spellEnd"/>
      <w:r w:rsidRPr="003256F8">
        <w:rPr>
          <w:color w:val="auto"/>
        </w:rPr>
        <w:t>-3,5-</w:t>
      </w:r>
      <w:proofErr w:type="spellStart"/>
      <w:r w:rsidRPr="003256F8">
        <w:rPr>
          <w:color w:val="auto"/>
        </w:rPr>
        <w:t>dimetil</w:t>
      </w:r>
      <w:proofErr w:type="spellEnd"/>
      <w:r w:rsidRPr="003256F8">
        <w:rPr>
          <w:color w:val="auto"/>
        </w:rPr>
        <w:t>-</w:t>
      </w:r>
      <w:proofErr w:type="spellStart"/>
      <w:r w:rsidRPr="003256F8">
        <w:rPr>
          <w:color w:val="auto"/>
        </w:rPr>
        <w:t>adamantandır</w:t>
      </w:r>
      <w:proofErr w:type="spellEnd"/>
      <w:r w:rsidRPr="003256F8">
        <w:rPr>
          <w:color w:val="auto"/>
        </w:rPr>
        <w:t>.</w:t>
      </w:r>
    </w:p>
    <w:p w:rsidR="00901C3F" w:rsidRPr="003256F8" w:rsidRDefault="00901C3F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Bu </w:t>
      </w:r>
      <w:proofErr w:type="spellStart"/>
      <w:r w:rsidRPr="003256F8">
        <w:rPr>
          <w:color w:val="auto"/>
        </w:rPr>
        <w:t>metabolitlerin</w:t>
      </w:r>
      <w:proofErr w:type="spellEnd"/>
      <w:r w:rsidRPr="003256F8">
        <w:rPr>
          <w:color w:val="auto"/>
        </w:rPr>
        <w:t xml:space="preserve"> hiçbirinin NMDA-</w:t>
      </w:r>
      <w:proofErr w:type="gramStart"/>
      <w:r w:rsidRPr="003256F8">
        <w:rPr>
          <w:color w:val="auto"/>
        </w:rPr>
        <w:t>antagonisti</w:t>
      </w:r>
      <w:proofErr w:type="gramEnd"/>
      <w:r w:rsidRPr="003256F8">
        <w:rPr>
          <w:color w:val="auto"/>
        </w:rPr>
        <w:t xml:space="preserve"> aktivitesi yoktur. </w:t>
      </w:r>
      <w:r w:rsidR="00901C3F" w:rsidRPr="003256F8">
        <w:rPr>
          <w:i/>
          <w:color w:val="auto"/>
        </w:rPr>
        <w:t xml:space="preserve">İn </w:t>
      </w:r>
      <w:proofErr w:type="spellStart"/>
      <w:r w:rsidR="00901C3F" w:rsidRPr="003256F8">
        <w:rPr>
          <w:i/>
          <w:color w:val="auto"/>
        </w:rPr>
        <w:t>vitro</w:t>
      </w:r>
      <w:proofErr w:type="spellEnd"/>
      <w:r w:rsidR="00901C3F" w:rsidRPr="003256F8">
        <w:rPr>
          <w:i/>
          <w:color w:val="auto"/>
        </w:rPr>
        <w:t xml:space="preserve"> </w:t>
      </w:r>
      <w:r w:rsidR="00901C3F" w:rsidRPr="003256F8">
        <w:rPr>
          <w:color w:val="auto"/>
        </w:rPr>
        <w:t xml:space="preserve">çalışmalarda </w:t>
      </w:r>
      <w:proofErr w:type="spellStart"/>
      <w:r w:rsidR="00901C3F" w:rsidRPr="003256F8">
        <w:rPr>
          <w:color w:val="auto"/>
        </w:rPr>
        <w:t>s</w:t>
      </w:r>
      <w:r w:rsidRPr="003256F8">
        <w:rPr>
          <w:color w:val="auto"/>
        </w:rPr>
        <w:t>itokrom</w:t>
      </w:r>
      <w:proofErr w:type="spellEnd"/>
      <w:r w:rsidRPr="003256F8">
        <w:rPr>
          <w:color w:val="auto"/>
        </w:rPr>
        <w:t xml:space="preserve"> P450 enzimlerinin katalizlediği metabolizma tespit edilmemiştir. </w:t>
      </w:r>
    </w:p>
    <w:p w:rsidR="00424B09" w:rsidRPr="003256F8" w:rsidRDefault="00424B09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Oral yoldan alınan </w:t>
      </w:r>
      <w:r w:rsidR="000A177B" w:rsidRPr="003256F8">
        <w:rPr>
          <w:color w:val="auto"/>
          <w:vertAlign w:val="superscript"/>
        </w:rPr>
        <w:t>14</w:t>
      </w:r>
      <w:r w:rsidRPr="003256F8">
        <w:rPr>
          <w:color w:val="auto"/>
        </w:rPr>
        <w:t>C-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yapılan bir çalışmada, </w:t>
      </w:r>
      <w:r w:rsidR="00901C3F" w:rsidRPr="003256F8">
        <w:rPr>
          <w:color w:val="auto"/>
        </w:rPr>
        <w:t xml:space="preserve">%99’dan fazlası </w:t>
      </w:r>
      <w:proofErr w:type="spellStart"/>
      <w:r w:rsidR="00901C3F" w:rsidRPr="003256F8">
        <w:rPr>
          <w:color w:val="auto"/>
        </w:rPr>
        <w:t>renal</w:t>
      </w:r>
      <w:proofErr w:type="spellEnd"/>
      <w:r w:rsidR="00901C3F" w:rsidRPr="003256F8">
        <w:rPr>
          <w:color w:val="auto"/>
        </w:rPr>
        <w:t xml:space="preserve"> yoldan olmak üzere </w:t>
      </w:r>
      <w:r w:rsidRPr="003256F8">
        <w:rPr>
          <w:color w:val="auto"/>
        </w:rPr>
        <w:t xml:space="preserve">dozun ortalama %84’ü 20 gün </w:t>
      </w:r>
      <w:r w:rsidR="00901C3F" w:rsidRPr="003256F8">
        <w:rPr>
          <w:color w:val="auto"/>
        </w:rPr>
        <w:t>içerisinde</w:t>
      </w:r>
      <w:r w:rsidRPr="003256F8">
        <w:rPr>
          <w:color w:val="auto"/>
        </w:rPr>
        <w:t xml:space="preserve"> atılmıştır. </w:t>
      </w:r>
    </w:p>
    <w:p w:rsidR="00727EEB" w:rsidRPr="003256F8" w:rsidRDefault="00727EEB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Cs/>
          <w:color w:val="auto"/>
          <w:u w:val="single"/>
        </w:rPr>
        <w:t>Eliminasyon:</w:t>
      </w:r>
      <w:r w:rsidRPr="003256F8">
        <w:rPr>
          <w:i/>
          <w:iCs/>
          <w:color w:val="auto"/>
        </w:rPr>
        <w:t xml:space="preserve">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terminal yarı ömrü (t</w:t>
      </w:r>
      <w:r w:rsidR="000A177B" w:rsidRPr="003256F8">
        <w:rPr>
          <w:color w:val="auto"/>
          <w:vertAlign w:val="subscript"/>
        </w:rPr>
        <w:t>1/2</w:t>
      </w:r>
      <w:r w:rsidRPr="003256F8">
        <w:rPr>
          <w:color w:val="auto"/>
        </w:rPr>
        <w:t xml:space="preserve">) 60-100 saattir. </w:t>
      </w:r>
      <w:proofErr w:type="spellStart"/>
      <w:r w:rsidRPr="003256F8">
        <w:rPr>
          <w:color w:val="auto"/>
        </w:rPr>
        <w:t>Monoeksponansiyel</w:t>
      </w:r>
      <w:proofErr w:type="spellEnd"/>
      <w:r w:rsidRPr="003256F8">
        <w:rPr>
          <w:color w:val="auto"/>
        </w:rPr>
        <w:t xml:space="preserve"> biçimde elimine olur. Normal böbrek fonksiyonuna sahip gönüllülerde, toplam </w:t>
      </w:r>
      <w:proofErr w:type="spellStart"/>
      <w:r w:rsidRPr="003256F8">
        <w:rPr>
          <w:color w:val="auto"/>
        </w:rPr>
        <w:t>kl</w:t>
      </w:r>
      <w:r w:rsidR="007F68DD" w:rsidRPr="003256F8">
        <w:rPr>
          <w:color w:val="auto"/>
        </w:rPr>
        <w:t>e</w:t>
      </w:r>
      <w:r w:rsidRPr="003256F8">
        <w:rPr>
          <w:color w:val="auto"/>
        </w:rPr>
        <w:t>rens</w:t>
      </w:r>
      <w:proofErr w:type="spellEnd"/>
      <w:r w:rsidRPr="003256F8">
        <w:rPr>
          <w:color w:val="auto"/>
        </w:rPr>
        <w:t xml:space="preserve"> (</w:t>
      </w:r>
      <w:proofErr w:type="spellStart"/>
      <w:r w:rsidRPr="003256F8">
        <w:rPr>
          <w:color w:val="auto"/>
        </w:rPr>
        <w:t>Cl</w:t>
      </w:r>
      <w:r w:rsidR="000A177B" w:rsidRPr="003256F8">
        <w:rPr>
          <w:color w:val="auto"/>
          <w:vertAlign w:val="subscript"/>
        </w:rPr>
        <w:t>tot</w:t>
      </w:r>
      <w:proofErr w:type="spellEnd"/>
      <w:r w:rsidRPr="003256F8">
        <w:rPr>
          <w:color w:val="auto"/>
        </w:rPr>
        <w:t>) 170 ml/</w:t>
      </w:r>
      <w:proofErr w:type="spellStart"/>
      <w:r w:rsidRPr="003256F8">
        <w:rPr>
          <w:color w:val="auto"/>
        </w:rPr>
        <w:t>dak</w:t>
      </w:r>
      <w:proofErr w:type="spellEnd"/>
      <w:r w:rsidRPr="003256F8">
        <w:rPr>
          <w:color w:val="auto"/>
        </w:rPr>
        <w:t>/1.73 m</w:t>
      </w:r>
      <w:r w:rsidR="007F68DD" w:rsidRPr="003256F8">
        <w:rPr>
          <w:color w:val="auto"/>
          <w:vertAlign w:val="superscript"/>
        </w:rPr>
        <w:t>2</w:t>
      </w:r>
      <w:r w:rsidRPr="003256F8">
        <w:rPr>
          <w:color w:val="auto"/>
        </w:rPr>
        <w:t xml:space="preserve">’dir ve toplam </w:t>
      </w:r>
      <w:proofErr w:type="spellStart"/>
      <w:r w:rsidRPr="003256F8">
        <w:rPr>
          <w:color w:val="auto"/>
        </w:rPr>
        <w:t>renal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klirensin</w:t>
      </w:r>
      <w:proofErr w:type="spellEnd"/>
      <w:r w:rsidRPr="003256F8">
        <w:rPr>
          <w:color w:val="auto"/>
        </w:rPr>
        <w:t xml:space="preserve"> bir kısmı </w:t>
      </w:r>
      <w:proofErr w:type="spellStart"/>
      <w:r w:rsidR="007F68DD" w:rsidRPr="003256F8">
        <w:rPr>
          <w:color w:val="auto"/>
        </w:rPr>
        <w:t>tübüler</w:t>
      </w:r>
      <w:proofErr w:type="spellEnd"/>
      <w:r w:rsidR="007F68DD" w:rsidRPr="003256F8">
        <w:rPr>
          <w:color w:val="auto"/>
        </w:rPr>
        <w:t xml:space="preserve"> </w:t>
      </w:r>
      <w:proofErr w:type="spellStart"/>
      <w:r w:rsidR="007F68DD" w:rsidRPr="003256F8">
        <w:rPr>
          <w:color w:val="auto"/>
        </w:rPr>
        <w:t>sekresyon</w:t>
      </w:r>
      <w:proofErr w:type="spellEnd"/>
      <w:r w:rsidR="007F68DD" w:rsidRPr="003256F8">
        <w:rPr>
          <w:color w:val="auto"/>
        </w:rPr>
        <w:t xml:space="preserve"> ile sağlanır.</w:t>
      </w:r>
    </w:p>
    <w:p w:rsidR="007F68DD" w:rsidRPr="003256F8" w:rsidRDefault="007F68DD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lastRenderedPageBreak/>
        <w:t>Renal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kl</w:t>
      </w:r>
      <w:r w:rsidR="007F68DD" w:rsidRPr="003256F8">
        <w:rPr>
          <w:color w:val="auto"/>
        </w:rPr>
        <w:t>e</w:t>
      </w:r>
      <w:r w:rsidRPr="003256F8">
        <w:rPr>
          <w:color w:val="auto"/>
        </w:rPr>
        <w:t>rens</w:t>
      </w:r>
      <w:proofErr w:type="spellEnd"/>
      <w:r w:rsidRPr="003256F8">
        <w:rPr>
          <w:color w:val="auto"/>
        </w:rPr>
        <w:t xml:space="preserve">, muhtemelen katyon nakil proteinleri vasıtasıyla, </w:t>
      </w:r>
      <w:proofErr w:type="spellStart"/>
      <w:r w:rsidRPr="003256F8">
        <w:rPr>
          <w:color w:val="auto"/>
        </w:rPr>
        <w:t>tübüler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reabsorbsiyonu</w:t>
      </w:r>
      <w:proofErr w:type="spellEnd"/>
      <w:r w:rsidRPr="003256F8">
        <w:rPr>
          <w:color w:val="auto"/>
        </w:rPr>
        <w:t xml:space="preserve"> da içerir.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renal</w:t>
      </w:r>
      <w:proofErr w:type="spellEnd"/>
      <w:r w:rsidRPr="003256F8">
        <w:rPr>
          <w:color w:val="auto"/>
        </w:rPr>
        <w:t xml:space="preserve"> </w:t>
      </w:r>
      <w:proofErr w:type="gramStart"/>
      <w:r w:rsidRPr="003256F8">
        <w:rPr>
          <w:color w:val="auto"/>
        </w:rPr>
        <w:t>eliminasyon</w:t>
      </w:r>
      <w:proofErr w:type="gramEnd"/>
      <w:r w:rsidRPr="003256F8">
        <w:rPr>
          <w:color w:val="auto"/>
        </w:rPr>
        <w:t xml:space="preserve"> hızı alkali idrar koşullarında 7-9 faktör azaltılabilir (</w:t>
      </w:r>
      <w:r w:rsidRPr="003256F8">
        <w:rPr>
          <w:i/>
          <w:iCs/>
          <w:color w:val="auto"/>
        </w:rPr>
        <w:t>bkz. 4.4 Özel kullanım uyarıları ve önlemleri</w:t>
      </w:r>
      <w:r w:rsidRPr="003256F8">
        <w:rPr>
          <w:color w:val="auto"/>
        </w:rPr>
        <w:t xml:space="preserve">). İdrar </w:t>
      </w:r>
      <w:proofErr w:type="spellStart"/>
      <w:r w:rsidRPr="003256F8">
        <w:rPr>
          <w:color w:val="auto"/>
        </w:rPr>
        <w:t>alkalizasyonu</w:t>
      </w:r>
      <w:proofErr w:type="spellEnd"/>
      <w:r w:rsidRPr="003256F8">
        <w:rPr>
          <w:color w:val="auto"/>
        </w:rPr>
        <w:t xml:space="preserve">, diyetteki köklü değişim (örneğin etoburluktan vejetaryen diyete geçiş gibi) veya </w:t>
      </w:r>
      <w:proofErr w:type="spellStart"/>
      <w:r w:rsidRPr="003256F8">
        <w:rPr>
          <w:color w:val="auto"/>
        </w:rPr>
        <w:t>alkalizan</w:t>
      </w:r>
      <w:proofErr w:type="spellEnd"/>
      <w:r w:rsidRPr="003256F8">
        <w:rPr>
          <w:color w:val="auto"/>
        </w:rPr>
        <w:t xml:space="preserve"> mide tamponlarının çok miktarda alınması sonucu oluşabilir. </w:t>
      </w:r>
    </w:p>
    <w:p w:rsidR="00727EEB" w:rsidRPr="003256F8" w:rsidRDefault="00727EEB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iCs/>
          <w:color w:val="auto"/>
          <w:u w:val="single"/>
        </w:rPr>
        <w:t>Doğrusallık:</w:t>
      </w:r>
      <w:r w:rsidRPr="003256F8">
        <w:rPr>
          <w:i/>
          <w:iCs/>
          <w:color w:val="auto"/>
        </w:rPr>
        <w:t xml:space="preserve"> </w:t>
      </w:r>
      <w:r w:rsidRPr="003256F8">
        <w:rPr>
          <w:color w:val="auto"/>
        </w:rPr>
        <w:t xml:space="preserve">Gönüllülerde yapılan çalışmalarda, 10-40 </w:t>
      </w:r>
      <w:proofErr w:type="spellStart"/>
      <w:r w:rsidRPr="003256F8">
        <w:rPr>
          <w:color w:val="auto"/>
        </w:rPr>
        <w:t>mg’lık</w:t>
      </w:r>
      <w:proofErr w:type="spellEnd"/>
      <w:r w:rsidRPr="003256F8">
        <w:rPr>
          <w:color w:val="auto"/>
        </w:rPr>
        <w:t xml:space="preserve"> dozlarda lineer </w:t>
      </w:r>
      <w:proofErr w:type="spellStart"/>
      <w:r w:rsidRPr="003256F8">
        <w:rPr>
          <w:color w:val="auto"/>
        </w:rPr>
        <w:t>farmakokinetik</w:t>
      </w:r>
      <w:proofErr w:type="spellEnd"/>
      <w:r w:rsidRPr="003256F8">
        <w:rPr>
          <w:color w:val="auto"/>
        </w:rPr>
        <w:t xml:space="preserve"> gösterdiği saptanmıştır. </w:t>
      </w:r>
    </w:p>
    <w:p w:rsidR="00727EEB" w:rsidRPr="003256F8" w:rsidRDefault="00727EEB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iCs/>
          <w:color w:val="auto"/>
          <w:u w:val="single"/>
        </w:rPr>
        <w:t>Farmakokinetik</w:t>
      </w:r>
      <w:proofErr w:type="spellEnd"/>
      <w:r w:rsidRPr="003256F8">
        <w:rPr>
          <w:iCs/>
          <w:color w:val="auto"/>
          <w:u w:val="single"/>
        </w:rPr>
        <w:t>/farmakodinamik ilişkisi:</w:t>
      </w:r>
      <w:r w:rsidRPr="003256F8">
        <w:rPr>
          <w:i/>
          <w:iCs/>
          <w:color w:val="auto"/>
        </w:rPr>
        <w:t xml:space="preserve"> </w:t>
      </w:r>
      <w:r w:rsidRPr="003256F8">
        <w:rPr>
          <w:color w:val="auto"/>
        </w:rPr>
        <w:t xml:space="preserve">Günde 20 mg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dozunda, beyin omurilik sıvısı (BOS) seviyeleri </w:t>
      </w:r>
      <w:proofErr w:type="spellStart"/>
      <w:r w:rsidRPr="003256F8">
        <w:rPr>
          <w:color w:val="auto"/>
        </w:rPr>
        <w:t>memantinin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frontal</w:t>
      </w:r>
      <w:proofErr w:type="spellEnd"/>
      <w:r w:rsidRPr="003256F8">
        <w:rPr>
          <w:color w:val="auto"/>
        </w:rPr>
        <w:t xml:space="preserve"> kortekste </w:t>
      </w:r>
      <w:proofErr w:type="gramStart"/>
      <w:r w:rsidRPr="003256F8">
        <w:rPr>
          <w:color w:val="auto"/>
        </w:rPr>
        <w:t>0.5</w:t>
      </w:r>
      <w:proofErr w:type="gramEnd"/>
      <w:r w:rsidRPr="003256F8">
        <w:rPr>
          <w:color w:val="auto"/>
        </w:rPr>
        <w:t xml:space="preserve"> </w:t>
      </w:r>
      <w:r w:rsidR="00CD0FDF" w:rsidRPr="003256F8">
        <w:rPr>
          <w:color w:val="auto"/>
        </w:rPr>
        <w:t>µ</w:t>
      </w:r>
      <w:proofErr w:type="spellStart"/>
      <w:r w:rsidRPr="003256F8">
        <w:rPr>
          <w:color w:val="auto"/>
        </w:rPr>
        <w:t>mol</w:t>
      </w:r>
      <w:proofErr w:type="spellEnd"/>
      <w:r w:rsidRPr="003256F8">
        <w:rPr>
          <w:color w:val="auto"/>
        </w:rPr>
        <w:t xml:space="preserve"> olan k</w:t>
      </w:r>
      <w:r w:rsidR="00CD0FDF" w:rsidRPr="003256F8">
        <w:rPr>
          <w:color w:val="auto"/>
          <w:vertAlign w:val="subscript"/>
        </w:rPr>
        <w:t>i</w:t>
      </w:r>
      <w:r w:rsidRPr="003256F8">
        <w:rPr>
          <w:color w:val="auto"/>
          <w:position w:val="-10"/>
          <w:vertAlign w:val="subscript"/>
        </w:rPr>
        <w:t xml:space="preserve"> </w:t>
      </w:r>
      <w:r w:rsidRPr="003256F8">
        <w:rPr>
          <w:color w:val="auto"/>
        </w:rPr>
        <w:t>değerini (k</w:t>
      </w:r>
      <w:r w:rsidR="00CD0FDF" w:rsidRPr="003256F8">
        <w:rPr>
          <w:color w:val="auto"/>
          <w:vertAlign w:val="subscript"/>
        </w:rPr>
        <w:t>i</w:t>
      </w:r>
      <w:r w:rsidRPr="003256F8">
        <w:rPr>
          <w:color w:val="auto"/>
          <w:position w:val="-10"/>
          <w:vertAlign w:val="subscript"/>
        </w:rPr>
        <w:t xml:space="preserve"> </w:t>
      </w:r>
      <w:r w:rsidRPr="003256F8">
        <w:rPr>
          <w:color w:val="auto"/>
        </w:rPr>
        <w:t xml:space="preserve">= </w:t>
      </w:r>
      <w:proofErr w:type="spellStart"/>
      <w:r w:rsidRPr="003256F8">
        <w:rPr>
          <w:color w:val="auto"/>
        </w:rPr>
        <w:t>inhibisyon</w:t>
      </w:r>
      <w:proofErr w:type="spellEnd"/>
      <w:r w:rsidRPr="003256F8">
        <w:rPr>
          <w:color w:val="auto"/>
        </w:rPr>
        <w:t xml:space="preserve"> sabiti) karşılamaktadır.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5.3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Klinik öncesi güvenlilik verileri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Sıçanlarda yapılan kısa dönem çalışmalarında,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benzeri diğer NMDA-</w:t>
      </w:r>
      <w:proofErr w:type="gramStart"/>
      <w:r w:rsidRPr="003256F8">
        <w:rPr>
          <w:color w:val="auto"/>
        </w:rPr>
        <w:t>antagonistleri</w:t>
      </w:r>
      <w:proofErr w:type="gramEnd"/>
      <w:r w:rsidR="00901C3F" w:rsidRPr="003256F8">
        <w:rPr>
          <w:color w:val="auto"/>
        </w:rPr>
        <w:t xml:space="preserve"> gibi</w:t>
      </w:r>
      <w:r w:rsidRPr="003256F8">
        <w:rPr>
          <w:color w:val="auto"/>
        </w:rPr>
        <w:t xml:space="preserve">, sadece çok yüksek düzeyde serum konsantrasyonlarına neden olan dozlardan sonra, </w:t>
      </w:r>
      <w:proofErr w:type="spellStart"/>
      <w:r w:rsidRPr="003256F8">
        <w:rPr>
          <w:color w:val="auto"/>
        </w:rPr>
        <w:t>nöronal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vakuolizasyon</w:t>
      </w:r>
      <w:proofErr w:type="spellEnd"/>
      <w:r w:rsidRPr="003256F8">
        <w:rPr>
          <w:color w:val="auto"/>
        </w:rPr>
        <w:t xml:space="preserve"> ve nekroz (</w:t>
      </w:r>
      <w:proofErr w:type="spellStart"/>
      <w:r w:rsidRPr="003256F8">
        <w:rPr>
          <w:color w:val="auto"/>
        </w:rPr>
        <w:t>Olney</w:t>
      </w:r>
      <w:proofErr w:type="spellEnd"/>
      <w:r w:rsidRPr="003256F8">
        <w:rPr>
          <w:color w:val="auto"/>
        </w:rPr>
        <w:t xml:space="preserve"> lezyonları) oluşturmuştur. </w:t>
      </w:r>
      <w:proofErr w:type="spellStart"/>
      <w:r w:rsidRPr="003256F8">
        <w:rPr>
          <w:color w:val="auto"/>
        </w:rPr>
        <w:t>Ataksi</w:t>
      </w:r>
      <w:proofErr w:type="spellEnd"/>
      <w:r w:rsidRPr="003256F8">
        <w:rPr>
          <w:color w:val="auto"/>
        </w:rPr>
        <w:t xml:space="preserve"> ve diğer </w:t>
      </w:r>
      <w:proofErr w:type="spellStart"/>
      <w:r w:rsidRPr="003256F8">
        <w:rPr>
          <w:color w:val="auto"/>
        </w:rPr>
        <w:t>preklinik</w:t>
      </w:r>
      <w:proofErr w:type="spellEnd"/>
      <w:r w:rsidRPr="003256F8">
        <w:rPr>
          <w:color w:val="auto"/>
        </w:rPr>
        <w:t xml:space="preserve"> işaretler, </w:t>
      </w:r>
      <w:proofErr w:type="spellStart"/>
      <w:r w:rsidRPr="003256F8">
        <w:rPr>
          <w:color w:val="auto"/>
        </w:rPr>
        <w:t>vakuolizasyon</w:t>
      </w:r>
      <w:proofErr w:type="spellEnd"/>
      <w:r w:rsidRPr="003256F8">
        <w:rPr>
          <w:color w:val="auto"/>
        </w:rPr>
        <w:t xml:space="preserve"> ve nekrozdan önce görülmektedir. Kemirgen ve kemirgen olmayan deney hayvanlarında uzun süreli yapılan çalışmalarda bu etkiler görülmediğinden, bu bulguların kli</w:t>
      </w:r>
      <w:r w:rsidR="00CD0FDF" w:rsidRPr="003256F8">
        <w:rPr>
          <w:color w:val="auto"/>
        </w:rPr>
        <w:t>nik bağlantısı bilinmemektedir.</w:t>
      </w:r>
    </w:p>
    <w:p w:rsidR="00CD0FDF" w:rsidRPr="003256F8" w:rsidRDefault="00CD0FDF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Tekrarlanan doz </w:t>
      </w:r>
      <w:proofErr w:type="spellStart"/>
      <w:r w:rsidRPr="003256F8">
        <w:rPr>
          <w:color w:val="auto"/>
        </w:rPr>
        <w:t>toksisite</w:t>
      </w:r>
      <w:proofErr w:type="spellEnd"/>
      <w:r w:rsidRPr="003256F8">
        <w:rPr>
          <w:color w:val="auto"/>
        </w:rPr>
        <w:t xml:space="preserve"> çalışmalarında kemirgenlerde ve köpeklerde, oküler değişiklikler gözlemlenmiştir fakat bu durum maymunlarda görülmemiştir.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yapılan klinik çalışmalarda, özgün </w:t>
      </w:r>
      <w:proofErr w:type="spellStart"/>
      <w:r w:rsidRPr="003256F8">
        <w:rPr>
          <w:color w:val="auto"/>
        </w:rPr>
        <w:t>oftalmoskopik</w:t>
      </w:r>
      <w:proofErr w:type="spellEnd"/>
      <w:r w:rsidRPr="003256F8">
        <w:rPr>
          <w:color w:val="auto"/>
        </w:rPr>
        <w:t xml:space="preserve"> incelemeler, herhangi bir oküler </w:t>
      </w:r>
      <w:r w:rsidR="00CD0FDF" w:rsidRPr="003256F8">
        <w:rPr>
          <w:color w:val="auto"/>
        </w:rPr>
        <w:t>değişikliği ortaya koymamıştır.</w:t>
      </w:r>
    </w:p>
    <w:p w:rsidR="00CD0FDF" w:rsidRPr="003256F8" w:rsidRDefault="00CD0FDF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Lizozomlarda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birikimine </w:t>
      </w:r>
      <w:r w:rsidR="00901C3F" w:rsidRPr="003256F8">
        <w:rPr>
          <w:color w:val="auto"/>
        </w:rPr>
        <w:t xml:space="preserve">bağlı olarak </w:t>
      </w:r>
      <w:proofErr w:type="spellStart"/>
      <w:r w:rsidRPr="003256F8">
        <w:rPr>
          <w:color w:val="auto"/>
        </w:rPr>
        <w:t>pulmoner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makrofajlardaki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fosfolipidoz</w:t>
      </w:r>
      <w:proofErr w:type="spellEnd"/>
      <w:r w:rsidRPr="003256F8">
        <w:rPr>
          <w:color w:val="auto"/>
        </w:rPr>
        <w:t xml:space="preserve">, kemirgenlerde gözlemlenmiştir. Bu etki, </w:t>
      </w:r>
      <w:proofErr w:type="spellStart"/>
      <w:r w:rsidRPr="003256F8">
        <w:rPr>
          <w:color w:val="auto"/>
        </w:rPr>
        <w:t>katyonik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amfifilik</w:t>
      </w:r>
      <w:proofErr w:type="spellEnd"/>
      <w:r w:rsidRPr="003256F8">
        <w:rPr>
          <w:color w:val="auto"/>
        </w:rPr>
        <w:t xml:space="preserve"> özellikteki diğer ilaçlarla da görülmektedir. Bu birikme ile akciğerlerde görülen </w:t>
      </w:r>
      <w:proofErr w:type="spellStart"/>
      <w:r w:rsidRPr="003256F8">
        <w:rPr>
          <w:color w:val="auto"/>
        </w:rPr>
        <w:t>vakuolizasyon</w:t>
      </w:r>
      <w:proofErr w:type="spellEnd"/>
      <w:r w:rsidRPr="003256F8">
        <w:rPr>
          <w:color w:val="auto"/>
        </w:rPr>
        <w:t xml:space="preserve"> arasında bir ilişki olması olasıdır. Etki, kemirgenlerde, sadece yüksek dozlarda görülmektedir. Bu bulguların klinik bağlantısı bilinmemektedir. </w:t>
      </w:r>
    </w:p>
    <w:p w:rsidR="00CD0FDF" w:rsidRPr="003256F8" w:rsidRDefault="00CD0FDF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Memantin</w:t>
      </w:r>
      <w:proofErr w:type="spellEnd"/>
      <w:r w:rsidRPr="003256F8">
        <w:rPr>
          <w:color w:val="auto"/>
        </w:rPr>
        <w:t xml:space="preserve"> ile yapılan standart deneyler sonucu, </w:t>
      </w:r>
      <w:proofErr w:type="spellStart"/>
      <w:r w:rsidRPr="003256F8">
        <w:rPr>
          <w:color w:val="auto"/>
        </w:rPr>
        <w:t>genotoksisite</w:t>
      </w:r>
      <w:proofErr w:type="spellEnd"/>
      <w:r w:rsidRPr="003256F8">
        <w:rPr>
          <w:color w:val="auto"/>
        </w:rPr>
        <w:t xml:space="preserve"> gözlenmemiştir. Fareler ve sıçanlarda, ömür boyu yapılan çalışmalarda, hiçbir </w:t>
      </w:r>
      <w:proofErr w:type="spellStart"/>
      <w:r w:rsidRPr="003256F8">
        <w:rPr>
          <w:color w:val="auto"/>
        </w:rPr>
        <w:t>karsinojenite</w:t>
      </w:r>
      <w:proofErr w:type="spellEnd"/>
      <w:r w:rsidRPr="003256F8">
        <w:rPr>
          <w:color w:val="auto"/>
        </w:rPr>
        <w:t xml:space="preserve"> bulgusuna rastlanmamıştır. </w:t>
      </w:r>
      <w:proofErr w:type="spellStart"/>
      <w:r w:rsidRPr="003256F8">
        <w:rPr>
          <w:color w:val="auto"/>
        </w:rPr>
        <w:lastRenderedPageBreak/>
        <w:t>Memantin</w:t>
      </w:r>
      <w:proofErr w:type="spellEnd"/>
      <w:r w:rsidRPr="003256F8">
        <w:rPr>
          <w:color w:val="auto"/>
        </w:rPr>
        <w:t xml:space="preserve">, </w:t>
      </w:r>
      <w:proofErr w:type="spellStart"/>
      <w:r w:rsidRPr="003256F8">
        <w:rPr>
          <w:color w:val="auto"/>
        </w:rPr>
        <w:t>maternal</w:t>
      </w:r>
      <w:proofErr w:type="spellEnd"/>
      <w:r w:rsidRPr="003256F8">
        <w:rPr>
          <w:color w:val="auto"/>
        </w:rPr>
        <w:t xml:space="preserve"> toksik dozlarda dahi, sıçanlarda ve tavşanlarda </w:t>
      </w:r>
      <w:proofErr w:type="spellStart"/>
      <w:r w:rsidRPr="003256F8">
        <w:rPr>
          <w:color w:val="auto"/>
        </w:rPr>
        <w:t>teratojenik</w:t>
      </w:r>
      <w:proofErr w:type="spellEnd"/>
      <w:r w:rsidRPr="003256F8">
        <w:rPr>
          <w:color w:val="auto"/>
        </w:rPr>
        <w:t xml:space="preserve"> etki göstermemiş ve üretkenliğe ilişkin hiçbir </w:t>
      </w:r>
      <w:proofErr w:type="spellStart"/>
      <w:r w:rsidRPr="003256F8">
        <w:rPr>
          <w:color w:val="auto"/>
        </w:rPr>
        <w:t>advers</w:t>
      </w:r>
      <w:proofErr w:type="spellEnd"/>
      <w:r w:rsidRPr="003256F8">
        <w:rPr>
          <w:color w:val="auto"/>
        </w:rPr>
        <w:t xml:space="preserve"> etki saptanmamıştır.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Sıçanlarda, insanlara uygulanan düzeydeki dozlara eşdeğer veya biraz yüksek oranlarda yapılan uygulamalarda, </w:t>
      </w:r>
      <w:proofErr w:type="spellStart"/>
      <w:r w:rsidRPr="003256F8">
        <w:rPr>
          <w:color w:val="auto"/>
        </w:rPr>
        <w:t>fetal</w:t>
      </w:r>
      <w:proofErr w:type="spellEnd"/>
      <w:r w:rsidRPr="003256F8">
        <w:rPr>
          <w:color w:val="auto"/>
        </w:rPr>
        <w:t xml:space="preserve"> büyümenin azaldığı görülmüştür.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6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FARMASÖTİK ÖZELLİKLER </w:t>
      </w: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6.1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Yardımcı maddelerin listesi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Laktoz </w:t>
      </w:r>
      <w:proofErr w:type="spellStart"/>
      <w:r w:rsidRPr="003256F8">
        <w:rPr>
          <w:color w:val="auto"/>
        </w:rPr>
        <w:t>monohidrat</w:t>
      </w:r>
      <w:proofErr w:type="spellEnd"/>
      <w:r w:rsidRPr="003256F8">
        <w:rPr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Mikrokristal</w:t>
      </w:r>
      <w:r w:rsidR="00001AC9" w:rsidRPr="003256F8">
        <w:rPr>
          <w:color w:val="auto"/>
        </w:rPr>
        <w:t>ize</w:t>
      </w:r>
      <w:proofErr w:type="spellEnd"/>
      <w:r w:rsidRPr="003256F8">
        <w:rPr>
          <w:color w:val="auto"/>
        </w:rPr>
        <w:t xml:space="preserve"> </w:t>
      </w:r>
      <w:proofErr w:type="spellStart"/>
      <w:r w:rsidRPr="003256F8">
        <w:rPr>
          <w:color w:val="auto"/>
        </w:rPr>
        <w:t>sellüloz</w:t>
      </w:r>
      <w:proofErr w:type="spellEnd"/>
      <w:r w:rsidRPr="003256F8">
        <w:rPr>
          <w:color w:val="auto"/>
        </w:rPr>
        <w:t xml:space="preserve"> </w:t>
      </w:r>
    </w:p>
    <w:p w:rsidR="009877A4" w:rsidRPr="003256F8" w:rsidRDefault="00001AC9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Susuz </w:t>
      </w:r>
      <w:proofErr w:type="spellStart"/>
      <w:r w:rsidRPr="003256F8">
        <w:rPr>
          <w:color w:val="auto"/>
        </w:rPr>
        <w:t>k</w:t>
      </w:r>
      <w:r w:rsidR="009877A4" w:rsidRPr="003256F8">
        <w:rPr>
          <w:color w:val="auto"/>
        </w:rPr>
        <w:t>olloidal</w:t>
      </w:r>
      <w:proofErr w:type="spellEnd"/>
      <w:r w:rsidR="009877A4" w:rsidRPr="003256F8">
        <w:rPr>
          <w:color w:val="auto"/>
        </w:rPr>
        <w:t xml:space="preserve"> sili</w:t>
      </w:r>
      <w:r w:rsidRPr="003256F8">
        <w:rPr>
          <w:color w:val="auto"/>
        </w:rPr>
        <w:t>k</w:t>
      </w:r>
      <w:r w:rsidR="009877A4" w:rsidRPr="003256F8">
        <w:rPr>
          <w:color w:val="auto"/>
        </w:rPr>
        <w:t xml:space="preserve">a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Talk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Magnezyum </w:t>
      </w:r>
      <w:proofErr w:type="spellStart"/>
      <w:r w:rsidRPr="003256F8">
        <w:rPr>
          <w:color w:val="auto"/>
        </w:rPr>
        <w:t>stearat</w:t>
      </w:r>
      <w:proofErr w:type="spellEnd"/>
      <w:r w:rsidRPr="003256F8">
        <w:rPr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Metakrilik</w:t>
      </w:r>
      <w:proofErr w:type="spellEnd"/>
      <w:r w:rsidRPr="003256F8">
        <w:rPr>
          <w:color w:val="auto"/>
        </w:rPr>
        <w:t xml:space="preserve"> asi</w:t>
      </w:r>
      <w:r w:rsidR="00001AC9" w:rsidRPr="003256F8">
        <w:rPr>
          <w:color w:val="auto"/>
        </w:rPr>
        <w:t>t</w:t>
      </w:r>
      <w:r w:rsidRPr="003256F8">
        <w:rPr>
          <w:color w:val="auto"/>
        </w:rPr>
        <w:t xml:space="preserve">-etil </w:t>
      </w:r>
      <w:proofErr w:type="spellStart"/>
      <w:r w:rsidRPr="003256F8">
        <w:rPr>
          <w:color w:val="auto"/>
        </w:rPr>
        <w:t>akrilat</w:t>
      </w:r>
      <w:proofErr w:type="spellEnd"/>
      <w:r w:rsidRPr="003256F8">
        <w:rPr>
          <w:color w:val="auto"/>
        </w:rPr>
        <w:t xml:space="preserve">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Simetikon</w:t>
      </w:r>
      <w:proofErr w:type="spellEnd"/>
      <w:r w:rsidRPr="003256F8">
        <w:rPr>
          <w:color w:val="auto"/>
        </w:rPr>
        <w:t xml:space="preserve"> emülsiyon </w:t>
      </w:r>
    </w:p>
    <w:p w:rsidR="00E85B1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3256F8">
        <w:rPr>
          <w:color w:val="auto"/>
        </w:rPr>
        <w:t>Triasetin</w:t>
      </w:r>
      <w:proofErr w:type="spellEnd"/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  <w:highlight w:val="yellow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6.2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Geçimsizlikler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Yoktur.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>6.3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Raf Ömrü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24 ay </w:t>
      </w:r>
    </w:p>
    <w:p w:rsidR="00D632E1" w:rsidRPr="003256F8" w:rsidRDefault="00D632E1" w:rsidP="00901B13">
      <w:pPr>
        <w:pStyle w:val="Default"/>
        <w:spacing w:line="360" w:lineRule="auto"/>
        <w:jc w:val="both"/>
        <w:rPr>
          <w:color w:val="auto"/>
          <w:highlight w:val="yellow"/>
        </w:rPr>
      </w:pP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>6.4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Saklamaya yönelik özel tedbirler </w:t>
      </w:r>
    </w:p>
    <w:p w:rsidR="009877A4" w:rsidRPr="003256F8" w:rsidRDefault="00D632E1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>25</w:t>
      </w:r>
      <w:r w:rsidR="009877A4" w:rsidRPr="003256F8">
        <w:rPr>
          <w:color w:val="auto"/>
        </w:rPr>
        <w:t>°</w:t>
      </w:r>
      <w:proofErr w:type="spellStart"/>
      <w:r w:rsidR="009877A4" w:rsidRPr="003256F8">
        <w:rPr>
          <w:color w:val="auto"/>
        </w:rPr>
        <w:t>C’nin</w:t>
      </w:r>
      <w:proofErr w:type="spellEnd"/>
      <w:r w:rsidR="009877A4" w:rsidRPr="003256F8">
        <w:rPr>
          <w:color w:val="auto"/>
        </w:rPr>
        <w:t xml:space="preserve"> altındaki oda sıcaklığında saklayınız. </w:t>
      </w:r>
    </w:p>
    <w:p w:rsidR="009877A4" w:rsidRPr="003256F8" w:rsidRDefault="009877A4" w:rsidP="00901B13">
      <w:pPr>
        <w:pStyle w:val="Default"/>
        <w:spacing w:line="360" w:lineRule="auto"/>
        <w:jc w:val="both"/>
        <w:rPr>
          <w:color w:val="auto"/>
          <w:highlight w:val="yellow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6.5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Ambalajın niteliği ve içeriği </w:t>
      </w:r>
    </w:p>
    <w:p w:rsidR="009877A4" w:rsidRPr="003256F8" w:rsidRDefault="00D632E1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Bir yüzü PVC/PE/PVDC </w:t>
      </w:r>
      <w:proofErr w:type="spellStart"/>
      <w:r w:rsidRPr="003256F8">
        <w:rPr>
          <w:color w:val="auto"/>
        </w:rPr>
        <w:t>blister</w:t>
      </w:r>
      <w:proofErr w:type="spellEnd"/>
      <w:r w:rsidRPr="003256F8">
        <w:rPr>
          <w:color w:val="auto"/>
        </w:rPr>
        <w:t xml:space="preserve">, diğer yüzü </w:t>
      </w:r>
      <w:proofErr w:type="spellStart"/>
      <w:r w:rsidRPr="003256F8">
        <w:rPr>
          <w:color w:val="auto"/>
        </w:rPr>
        <w:t>aluminyum</w:t>
      </w:r>
      <w:proofErr w:type="spellEnd"/>
      <w:r w:rsidRPr="003256F8">
        <w:rPr>
          <w:color w:val="auto"/>
        </w:rPr>
        <w:t xml:space="preserve"> folyo kaplı ambalajlarda.</w:t>
      </w:r>
    </w:p>
    <w:p w:rsidR="00D632E1" w:rsidRPr="003256F8" w:rsidRDefault="006030D3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Her bir karton kutu </w:t>
      </w:r>
      <w:r w:rsidR="00D632E1" w:rsidRPr="003256F8">
        <w:rPr>
          <w:color w:val="auto"/>
        </w:rPr>
        <w:t>100 film tablet içermektedir.</w:t>
      </w:r>
    </w:p>
    <w:p w:rsidR="00D632E1" w:rsidRPr="003256F8" w:rsidRDefault="00D632E1" w:rsidP="00901B13">
      <w:pPr>
        <w:pStyle w:val="Default"/>
        <w:spacing w:line="360" w:lineRule="auto"/>
        <w:jc w:val="both"/>
        <w:rPr>
          <w:color w:val="auto"/>
          <w:highlight w:val="yellow"/>
        </w:rPr>
      </w:pPr>
    </w:p>
    <w:p w:rsidR="009877A4" w:rsidRPr="003256F8" w:rsidRDefault="009877A4" w:rsidP="00901B13">
      <w:pPr>
        <w:pStyle w:val="Default"/>
        <w:spacing w:line="360" w:lineRule="auto"/>
        <w:ind w:left="360" w:hanging="360"/>
        <w:jc w:val="both"/>
        <w:rPr>
          <w:color w:val="auto"/>
        </w:rPr>
      </w:pPr>
      <w:r w:rsidRPr="003256F8">
        <w:rPr>
          <w:b/>
          <w:bCs/>
          <w:color w:val="auto"/>
        </w:rPr>
        <w:t>6.6</w:t>
      </w:r>
      <w:r w:rsidR="00FE41D6" w:rsidRPr="003256F8">
        <w:rPr>
          <w:b/>
          <w:bCs/>
          <w:color w:val="auto"/>
        </w:rPr>
        <w:t>.</w:t>
      </w:r>
      <w:r w:rsidRPr="003256F8">
        <w:rPr>
          <w:b/>
          <w:bCs/>
          <w:color w:val="auto"/>
        </w:rPr>
        <w:t xml:space="preserve"> Beşeri tıbbi üründen arta kalan maddelerin imhası ve diğer özel önlemler </w:t>
      </w:r>
    </w:p>
    <w:p w:rsidR="00D632E1" w:rsidRPr="003256F8" w:rsidRDefault="00D632E1" w:rsidP="00901B1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val="tr-TR"/>
        </w:rPr>
      </w:pPr>
      <w:r w:rsidRPr="003256F8">
        <w:rPr>
          <w:rFonts w:eastAsia="TimesNewRoman"/>
          <w:lang w:val="tr-TR"/>
        </w:rPr>
        <w:t>Kullanılmamış olan ürünler ya da atık materyaller “Tıbbi Atıkların Kontrolü Yönetmeliği” ve “Ambalaj ve Ambalaj Atıklarının Kontrolü Yönetmeliği”ne uygun olarak imha edilmelidir</w:t>
      </w:r>
      <w:r w:rsidRPr="003256F8">
        <w:rPr>
          <w:lang w:val="tr-TR"/>
        </w:rPr>
        <w:t xml:space="preserve">. </w:t>
      </w:r>
    </w:p>
    <w:p w:rsidR="005459E5" w:rsidRPr="003256F8" w:rsidRDefault="005459E5" w:rsidP="00901B13">
      <w:pPr>
        <w:pStyle w:val="Default"/>
        <w:spacing w:line="360" w:lineRule="auto"/>
        <w:jc w:val="both"/>
        <w:rPr>
          <w:color w:val="auto"/>
        </w:rPr>
      </w:pPr>
    </w:p>
    <w:p w:rsidR="005459E5" w:rsidRPr="003256F8" w:rsidRDefault="00BA7E02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lastRenderedPageBreak/>
        <w:t>7</w:t>
      </w:r>
      <w:r w:rsidR="005459E5" w:rsidRPr="003256F8">
        <w:rPr>
          <w:b/>
          <w:bCs/>
          <w:color w:val="auto"/>
        </w:rPr>
        <w:t xml:space="preserve">. RUHSAT SAHİBİ </w:t>
      </w:r>
    </w:p>
    <w:p w:rsidR="00D632E1" w:rsidRPr="003256F8" w:rsidRDefault="000C56A2" w:rsidP="00901B13">
      <w:pPr>
        <w:tabs>
          <w:tab w:val="left" w:pos="709"/>
          <w:tab w:val="left" w:pos="5040"/>
        </w:tabs>
        <w:spacing w:line="360" w:lineRule="auto"/>
        <w:jc w:val="both"/>
        <w:rPr>
          <w:rFonts w:eastAsia="TimesNewRoman"/>
        </w:rPr>
      </w:pPr>
      <w:r w:rsidRPr="003256F8">
        <w:rPr>
          <w:rFonts w:eastAsia="TimesNewRoman"/>
        </w:rPr>
        <w:t>DEVA HOLDİNG A.Ş.</w:t>
      </w:r>
    </w:p>
    <w:p w:rsidR="00D632E1" w:rsidRPr="003256F8" w:rsidRDefault="00D632E1" w:rsidP="00901B13">
      <w:pPr>
        <w:tabs>
          <w:tab w:val="left" w:pos="709"/>
          <w:tab w:val="left" w:pos="5040"/>
        </w:tabs>
        <w:spacing w:line="360" w:lineRule="auto"/>
        <w:jc w:val="both"/>
        <w:rPr>
          <w:rFonts w:eastAsia="TimesNewRoman"/>
        </w:rPr>
      </w:pPr>
      <w:proofErr w:type="spellStart"/>
      <w:r w:rsidRPr="003256F8">
        <w:rPr>
          <w:rFonts w:eastAsia="TimesNewRoman"/>
        </w:rPr>
        <w:t>Halkalı</w:t>
      </w:r>
      <w:proofErr w:type="spellEnd"/>
      <w:r w:rsidRPr="003256F8">
        <w:rPr>
          <w:rFonts w:eastAsia="TimesNewRoman"/>
        </w:rPr>
        <w:t xml:space="preserve"> </w:t>
      </w:r>
      <w:proofErr w:type="spellStart"/>
      <w:r w:rsidRPr="003256F8">
        <w:rPr>
          <w:rFonts w:eastAsia="TimesNewRoman"/>
        </w:rPr>
        <w:t>Merkez</w:t>
      </w:r>
      <w:proofErr w:type="spellEnd"/>
      <w:r w:rsidRPr="003256F8">
        <w:rPr>
          <w:rFonts w:eastAsia="TimesNewRoman"/>
        </w:rPr>
        <w:t xml:space="preserve"> </w:t>
      </w:r>
      <w:proofErr w:type="spellStart"/>
      <w:r w:rsidRPr="003256F8">
        <w:rPr>
          <w:rFonts w:eastAsia="TimesNewRoman"/>
        </w:rPr>
        <w:t>Mah</w:t>
      </w:r>
      <w:proofErr w:type="spellEnd"/>
      <w:r w:rsidRPr="003256F8">
        <w:rPr>
          <w:rFonts w:eastAsia="TimesNewRoman"/>
        </w:rPr>
        <w:t xml:space="preserve">. </w:t>
      </w:r>
      <w:proofErr w:type="spellStart"/>
      <w:proofErr w:type="gramStart"/>
      <w:r w:rsidRPr="003256F8">
        <w:rPr>
          <w:rFonts w:eastAsia="TimesNewRoman"/>
        </w:rPr>
        <w:t>Basın</w:t>
      </w:r>
      <w:proofErr w:type="spellEnd"/>
      <w:r w:rsidRPr="003256F8">
        <w:rPr>
          <w:rFonts w:eastAsia="TimesNewRoman"/>
        </w:rPr>
        <w:t xml:space="preserve"> </w:t>
      </w:r>
      <w:proofErr w:type="spellStart"/>
      <w:r w:rsidRPr="003256F8">
        <w:rPr>
          <w:rFonts w:eastAsia="TimesNewRoman"/>
        </w:rPr>
        <w:t>Ekspres</w:t>
      </w:r>
      <w:proofErr w:type="spellEnd"/>
      <w:r w:rsidRPr="003256F8">
        <w:rPr>
          <w:rFonts w:eastAsia="TimesNewRoman"/>
        </w:rPr>
        <w:t xml:space="preserve"> Cad.</w:t>
      </w:r>
      <w:proofErr w:type="gramEnd"/>
    </w:p>
    <w:p w:rsidR="00D632E1" w:rsidRPr="003256F8" w:rsidRDefault="00D632E1" w:rsidP="00901B13">
      <w:pPr>
        <w:tabs>
          <w:tab w:val="left" w:pos="709"/>
          <w:tab w:val="left" w:pos="5040"/>
        </w:tabs>
        <w:spacing w:line="360" w:lineRule="auto"/>
        <w:jc w:val="both"/>
        <w:rPr>
          <w:rFonts w:eastAsia="TimesNewRoman"/>
        </w:rPr>
      </w:pPr>
      <w:r w:rsidRPr="003256F8">
        <w:rPr>
          <w:rFonts w:eastAsia="TimesNewRoman"/>
        </w:rPr>
        <w:t xml:space="preserve">No: 1 34303 </w:t>
      </w:r>
      <w:proofErr w:type="spellStart"/>
      <w:r w:rsidRPr="003256F8">
        <w:rPr>
          <w:rFonts w:eastAsia="TimesNewRoman"/>
        </w:rPr>
        <w:t>Küçükçekmece</w:t>
      </w:r>
      <w:proofErr w:type="spellEnd"/>
      <w:r w:rsidRPr="003256F8">
        <w:rPr>
          <w:rFonts w:eastAsia="TimesNewRoman"/>
        </w:rPr>
        <w:t xml:space="preserve"> </w:t>
      </w:r>
      <w:r w:rsidR="000C56A2" w:rsidRPr="003256F8">
        <w:rPr>
          <w:rFonts w:eastAsia="TimesNewRoman"/>
        </w:rPr>
        <w:t>/</w:t>
      </w:r>
      <w:r w:rsidRPr="003256F8">
        <w:rPr>
          <w:rFonts w:eastAsia="TimesNewRoman"/>
        </w:rPr>
        <w:t xml:space="preserve"> </w:t>
      </w:r>
      <w:r w:rsidR="000C56A2" w:rsidRPr="003256F8">
        <w:rPr>
          <w:rFonts w:eastAsia="TimesNewRoman"/>
        </w:rPr>
        <w:t xml:space="preserve">İSTANBUL </w:t>
      </w:r>
    </w:p>
    <w:p w:rsidR="00D632E1" w:rsidRPr="003256F8" w:rsidRDefault="00D632E1" w:rsidP="00901B13">
      <w:pPr>
        <w:tabs>
          <w:tab w:val="left" w:pos="709"/>
        </w:tabs>
        <w:spacing w:line="360" w:lineRule="auto"/>
        <w:jc w:val="both"/>
        <w:rPr>
          <w:rFonts w:eastAsia="TimesNewRoman"/>
        </w:rPr>
      </w:pPr>
      <w:r w:rsidRPr="003256F8">
        <w:rPr>
          <w:rFonts w:eastAsia="TimesNewRoman"/>
        </w:rPr>
        <w:t xml:space="preserve">Tel: 0 212 692 92 </w:t>
      </w:r>
      <w:proofErr w:type="spellStart"/>
      <w:r w:rsidRPr="003256F8">
        <w:rPr>
          <w:rFonts w:eastAsia="TimesNewRoman"/>
        </w:rPr>
        <w:t>92</w:t>
      </w:r>
      <w:proofErr w:type="spellEnd"/>
    </w:p>
    <w:p w:rsidR="00D632E1" w:rsidRPr="003256F8" w:rsidRDefault="00D632E1" w:rsidP="00901B13">
      <w:pPr>
        <w:tabs>
          <w:tab w:val="left" w:pos="709"/>
        </w:tabs>
        <w:spacing w:line="360" w:lineRule="auto"/>
        <w:jc w:val="both"/>
        <w:rPr>
          <w:rFonts w:eastAsia="TimesNewRoman"/>
        </w:rPr>
      </w:pPr>
      <w:r w:rsidRPr="003256F8">
        <w:rPr>
          <w:rFonts w:eastAsia="TimesNewRoman"/>
        </w:rPr>
        <w:t>Fax: 0 212 697 00 24</w:t>
      </w:r>
    </w:p>
    <w:p w:rsidR="00001AC9" w:rsidRPr="003256F8" w:rsidRDefault="00001AC9" w:rsidP="00901B13">
      <w:pPr>
        <w:pStyle w:val="Default"/>
        <w:spacing w:line="360" w:lineRule="auto"/>
        <w:jc w:val="both"/>
        <w:rPr>
          <w:color w:val="auto"/>
        </w:rPr>
      </w:pPr>
    </w:p>
    <w:p w:rsidR="005459E5" w:rsidRPr="003256F8" w:rsidRDefault="00FE41D6" w:rsidP="00901B13">
      <w:pPr>
        <w:pStyle w:val="Default"/>
        <w:spacing w:line="360" w:lineRule="auto"/>
        <w:jc w:val="both"/>
        <w:rPr>
          <w:b/>
          <w:bCs/>
          <w:color w:val="auto"/>
        </w:rPr>
      </w:pPr>
      <w:r w:rsidRPr="003256F8">
        <w:rPr>
          <w:b/>
          <w:bCs/>
          <w:color w:val="auto"/>
        </w:rPr>
        <w:t>8. RUHSAT NUMARASI</w:t>
      </w:r>
    </w:p>
    <w:p w:rsidR="00D632E1" w:rsidRPr="003256F8" w:rsidRDefault="004A40F1" w:rsidP="00901B13">
      <w:pPr>
        <w:pStyle w:val="Default"/>
        <w:spacing w:line="360" w:lineRule="auto"/>
        <w:jc w:val="both"/>
        <w:rPr>
          <w:rFonts w:eastAsia="TimesNewRoman"/>
          <w:color w:val="auto"/>
          <w:lang w:val="de-DE"/>
        </w:rPr>
      </w:pPr>
      <w:r w:rsidRPr="003256F8">
        <w:rPr>
          <w:rFonts w:eastAsia="TimesNewRoman"/>
          <w:color w:val="auto"/>
          <w:lang w:val="de-DE"/>
        </w:rPr>
        <w:t>238/60</w:t>
      </w:r>
    </w:p>
    <w:p w:rsidR="00901C3F" w:rsidRPr="003256F8" w:rsidRDefault="00901C3F" w:rsidP="00901B13">
      <w:pPr>
        <w:pStyle w:val="Default"/>
        <w:spacing w:line="360" w:lineRule="auto"/>
        <w:jc w:val="both"/>
        <w:rPr>
          <w:rFonts w:eastAsia="TimesNewRoman"/>
          <w:color w:val="auto"/>
          <w:lang w:val="de-DE"/>
        </w:rPr>
      </w:pPr>
    </w:p>
    <w:p w:rsidR="005459E5" w:rsidRPr="003256F8" w:rsidRDefault="005459E5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b/>
          <w:bCs/>
          <w:color w:val="auto"/>
        </w:rPr>
        <w:t xml:space="preserve">9. İLK RUHSAT TARİHİ/RUHSAT YENİLEME TARİHİ </w:t>
      </w:r>
    </w:p>
    <w:p w:rsidR="005459E5" w:rsidRPr="003256F8" w:rsidRDefault="005459E5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İlk ruhsat tarihi: </w:t>
      </w:r>
      <w:r w:rsidR="004A40F1" w:rsidRPr="003256F8">
        <w:rPr>
          <w:color w:val="auto"/>
        </w:rPr>
        <w:t>23.12.2011</w:t>
      </w:r>
    </w:p>
    <w:p w:rsidR="005459E5" w:rsidRPr="003256F8" w:rsidRDefault="005459E5" w:rsidP="00901B13">
      <w:pPr>
        <w:pStyle w:val="Default"/>
        <w:spacing w:line="360" w:lineRule="auto"/>
        <w:jc w:val="both"/>
        <w:rPr>
          <w:color w:val="auto"/>
        </w:rPr>
      </w:pPr>
      <w:r w:rsidRPr="003256F8">
        <w:rPr>
          <w:color w:val="auto"/>
        </w:rPr>
        <w:t xml:space="preserve">Ruhsat yenileme tarihi: - </w:t>
      </w:r>
    </w:p>
    <w:p w:rsidR="005459E5" w:rsidRPr="003256F8" w:rsidRDefault="005459E5" w:rsidP="00901B13">
      <w:pPr>
        <w:pStyle w:val="Default"/>
        <w:spacing w:line="360" w:lineRule="auto"/>
        <w:jc w:val="both"/>
        <w:rPr>
          <w:color w:val="auto"/>
          <w:highlight w:val="yellow"/>
        </w:rPr>
      </w:pPr>
    </w:p>
    <w:p w:rsidR="00D35EFE" w:rsidRDefault="005459E5" w:rsidP="00901B13">
      <w:pPr>
        <w:pStyle w:val="Default"/>
        <w:spacing w:line="360" w:lineRule="auto"/>
        <w:jc w:val="both"/>
        <w:rPr>
          <w:b/>
          <w:bCs/>
          <w:color w:val="auto"/>
        </w:rPr>
      </w:pPr>
      <w:r w:rsidRPr="003256F8">
        <w:rPr>
          <w:b/>
          <w:bCs/>
          <w:color w:val="auto"/>
        </w:rPr>
        <w:t>10. KÜB’ÜN YENİLENME TARİHİ</w:t>
      </w:r>
    </w:p>
    <w:p w:rsidR="000750E4" w:rsidRPr="003256F8" w:rsidRDefault="000750E4" w:rsidP="000750E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10.06.2013</w:t>
      </w:r>
    </w:p>
    <w:p w:rsidR="000750E4" w:rsidRPr="003256F8" w:rsidRDefault="000750E4" w:rsidP="00901B13">
      <w:pPr>
        <w:pStyle w:val="Default"/>
        <w:spacing w:line="360" w:lineRule="auto"/>
        <w:jc w:val="both"/>
        <w:rPr>
          <w:b/>
          <w:bCs/>
          <w:color w:val="auto"/>
        </w:rPr>
      </w:pPr>
    </w:p>
    <w:sectPr w:rsidR="000750E4" w:rsidRPr="003256F8" w:rsidSect="007076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3B" w:rsidRDefault="00826B3B" w:rsidP="00372991">
      <w:r>
        <w:separator/>
      </w:r>
    </w:p>
  </w:endnote>
  <w:endnote w:type="continuationSeparator" w:id="0">
    <w:p w:rsidR="00826B3B" w:rsidRDefault="00826B3B" w:rsidP="0037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9256D6" w:rsidRPr="002D640F" w:rsidRDefault="009256D6" w:rsidP="002D640F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EC8" w:rsidRPr="002D64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D640F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3F0EC8" w:rsidRPr="002D64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50E4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3F0EC8" w:rsidRPr="002D64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D640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F0EC8" w:rsidRPr="002D64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D640F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3F0EC8" w:rsidRPr="002D64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50E4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3F0EC8" w:rsidRPr="002D64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3B" w:rsidRDefault="00826B3B" w:rsidP="00372991">
      <w:r>
        <w:separator/>
      </w:r>
    </w:p>
  </w:footnote>
  <w:footnote w:type="continuationSeparator" w:id="0">
    <w:p w:rsidR="00826B3B" w:rsidRDefault="00826B3B" w:rsidP="00372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CB6"/>
    <w:multiLevelType w:val="hybridMultilevel"/>
    <w:tmpl w:val="13D07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C477A"/>
    <w:multiLevelType w:val="hybridMultilevel"/>
    <w:tmpl w:val="A918A4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E1B09"/>
    <w:multiLevelType w:val="hybridMultilevel"/>
    <w:tmpl w:val="99945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E1647"/>
    <w:multiLevelType w:val="hybridMultilevel"/>
    <w:tmpl w:val="ECD68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7A4"/>
    <w:rsid w:val="00001AC9"/>
    <w:rsid w:val="000358B0"/>
    <w:rsid w:val="000371DA"/>
    <w:rsid w:val="000750E4"/>
    <w:rsid w:val="00085FF8"/>
    <w:rsid w:val="000A177B"/>
    <w:rsid w:val="000C56A2"/>
    <w:rsid w:val="000F25CB"/>
    <w:rsid w:val="00106976"/>
    <w:rsid w:val="0011263B"/>
    <w:rsid w:val="00115C5F"/>
    <w:rsid w:val="0013302D"/>
    <w:rsid w:val="00180633"/>
    <w:rsid w:val="00211361"/>
    <w:rsid w:val="00262C94"/>
    <w:rsid w:val="0028721A"/>
    <w:rsid w:val="002D5C38"/>
    <w:rsid w:val="002D640F"/>
    <w:rsid w:val="002E538C"/>
    <w:rsid w:val="002F3F6A"/>
    <w:rsid w:val="00307D9E"/>
    <w:rsid w:val="003256F8"/>
    <w:rsid w:val="00372991"/>
    <w:rsid w:val="003C6A40"/>
    <w:rsid w:val="003D3115"/>
    <w:rsid w:val="003F0EC8"/>
    <w:rsid w:val="00424B09"/>
    <w:rsid w:val="0043236C"/>
    <w:rsid w:val="004549EA"/>
    <w:rsid w:val="00463FBE"/>
    <w:rsid w:val="004904C7"/>
    <w:rsid w:val="004A40F1"/>
    <w:rsid w:val="004D3275"/>
    <w:rsid w:val="004F53D1"/>
    <w:rsid w:val="005459E5"/>
    <w:rsid w:val="00571EFE"/>
    <w:rsid w:val="005835EF"/>
    <w:rsid w:val="005933B3"/>
    <w:rsid w:val="005B04C7"/>
    <w:rsid w:val="005D6A30"/>
    <w:rsid w:val="006011AE"/>
    <w:rsid w:val="006030D3"/>
    <w:rsid w:val="00641E99"/>
    <w:rsid w:val="00647390"/>
    <w:rsid w:val="006B5B5E"/>
    <w:rsid w:val="0070763D"/>
    <w:rsid w:val="00727EEB"/>
    <w:rsid w:val="00742E0B"/>
    <w:rsid w:val="00743BCF"/>
    <w:rsid w:val="007521A4"/>
    <w:rsid w:val="00755267"/>
    <w:rsid w:val="007F68DD"/>
    <w:rsid w:val="00826B3B"/>
    <w:rsid w:val="008B2035"/>
    <w:rsid w:val="008B6611"/>
    <w:rsid w:val="00901B13"/>
    <w:rsid w:val="00901C3F"/>
    <w:rsid w:val="00916660"/>
    <w:rsid w:val="009256D6"/>
    <w:rsid w:val="009408D5"/>
    <w:rsid w:val="00966531"/>
    <w:rsid w:val="0097068A"/>
    <w:rsid w:val="009853CA"/>
    <w:rsid w:val="009877A4"/>
    <w:rsid w:val="009A05D2"/>
    <w:rsid w:val="009A07CD"/>
    <w:rsid w:val="00A71102"/>
    <w:rsid w:val="00A72C82"/>
    <w:rsid w:val="00A762D8"/>
    <w:rsid w:val="00A91E64"/>
    <w:rsid w:val="00AA4B68"/>
    <w:rsid w:val="00B44DF6"/>
    <w:rsid w:val="00B821C1"/>
    <w:rsid w:val="00B9065A"/>
    <w:rsid w:val="00BA3F56"/>
    <w:rsid w:val="00BA7E02"/>
    <w:rsid w:val="00BC22F2"/>
    <w:rsid w:val="00BC3ECD"/>
    <w:rsid w:val="00BF3585"/>
    <w:rsid w:val="00C077A2"/>
    <w:rsid w:val="00C0785C"/>
    <w:rsid w:val="00C41041"/>
    <w:rsid w:val="00CA153C"/>
    <w:rsid w:val="00CA2476"/>
    <w:rsid w:val="00CB5B8F"/>
    <w:rsid w:val="00CD0FDF"/>
    <w:rsid w:val="00D0433E"/>
    <w:rsid w:val="00D077F7"/>
    <w:rsid w:val="00D11C37"/>
    <w:rsid w:val="00D35EFE"/>
    <w:rsid w:val="00D632E1"/>
    <w:rsid w:val="00DB79DA"/>
    <w:rsid w:val="00DE6F5F"/>
    <w:rsid w:val="00DF56AF"/>
    <w:rsid w:val="00E415BE"/>
    <w:rsid w:val="00E85B14"/>
    <w:rsid w:val="00F05D0E"/>
    <w:rsid w:val="00F07937"/>
    <w:rsid w:val="00F73013"/>
    <w:rsid w:val="00F848CB"/>
    <w:rsid w:val="00FE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87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B2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3729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2991"/>
  </w:style>
  <w:style w:type="paragraph" w:styleId="Altbilgi">
    <w:name w:val="footer"/>
    <w:basedOn w:val="Normal"/>
    <w:link w:val="AltbilgiChar"/>
    <w:uiPriority w:val="99"/>
    <w:unhideWhenUsed/>
    <w:rsid w:val="003729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372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E2E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5B87-733F-4041-B93C-3EDB95DE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20753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omumcuoglu</cp:lastModifiedBy>
  <cp:revision>9</cp:revision>
  <cp:lastPrinted>2014-08-27T05:58:00Z</cp:lastPrinted>
  <dcterms:created xsi:type="dcterms:W3CDTF">2013-06-11T07:11:00Z</dcterms:created>
  <dcterms:modified xsi:type="dcterms:W3CDTF">2014-09-30T08:06:00Z</dcterms:modified>
</cp:coreProperties>
</file>