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72" w:rsidRPr="00E75BE2" w:rsidRDefault="00176A72" w:rsidP="00176A72">
      <w:pPr>
        <w:shd w:val="clear" w:color="auto" w:fill="FFFFFF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413"/>
        <w:ind w:left="5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33"/>
          <w:sz w:val="24"/>
          <w:szCs w:val="24"/>
        </w:rPr>
        <w:t>1.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BEŞERİ TIBBİ </w:t>
      </w:r>
      <w:r w:rsidRPr="00E75BE2">
        <w:rPr>
          <w:rFonts w:ascii="Times New Roman" w:hAnsi="Times New Roman" w:cs="Times New Roman"/>
          <w:b/>
          <w:sz w:val="24"/>
          <w:szCs w:val="24"/>
        </w:rPr>
        <w:t xml:space="preserve">ÜRÜNÜN 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>ADI</w:t>
      </w:r>
    </w:p>
    <w:p w:rsidR="00176A72" w:rsidRPr="00E75BE2" w:rsidRDefault="00176A72" w:rsidP="00176A72">
      <w:pPr>
        <w:shd w:val="clear" w:color="auto" w:fill="FFFFFF"/>
        <w:spacing w:before="182"/>
        <w:ind w:left="5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MIKOSTATIN oral süspansiyon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178" w:line="413" w:lineRule="exact"/>
        <w:ind w:left="5" w:right="3686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7"/>
          <w:sz w:val="24"/>
          <w:szCs w:val="24"/>
        </w:rPr>
        <w:t>2.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KALİTATİF VE KANTİTATİF BİLEŞİM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br/>
        <w:t>Etkin madde:</w:t>
      </w:r>
    </w:p>
    <w:p w:rsidR="00176A72" w:rsidRPr="00E75BE2" w:rsidRDefault="00176A72" w:rsidP="00176A72">
      <w:pPr>
        <w:shd w:val="clear" w:color="auto" w:fill="FFFFFF"/>
        <w:tabs>
          <w:tab w:val="left" w:pos="1690"/>
        </w:tabs>
        <w:spacing w:line="413" w:lineRule="exact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Nistatin</w:t>
      </w:r>
      <w:r w:rsidRPr="00E75BE2">
        <w:rPr>
          <w:rFonts w:ascii="Times New Roman" w:hAnsi="Times New Roman" w:cs="Times New Roman"/>
          <w:sz w:val="24"/>
          <w:szCs w:val="24"/>
        </w:rPr>
        <w:tab/>
        <w:t>100.000 ünite/ml</w:t>
      </w:r>
    </w:p>
    <w:p w:rsidR="00176A72" w:rsidRPr="00E75BE2" w:rsidRDefault="00176A72" w:rsidP="00176A72">
      <w:pPr>
        <w:shd w:val="clear" w:color="auto" w:fill="FFFFFF"/>
        <w:spacing w:before="293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7"/>
          <w:sz w:val="24"/>
          <w:szCs w:val="24"/>
        </w:rPr>
        <w:t>Yardımcı maddeler:</w:t>
      </w:r>
    </w:p>
    <w:p w:rsidR="00176A72" w:rsidRPr="00E75BE2" w:rsidRDefault="00176A72" w:rsidP="00176A72">
      <w:pPr>
        <w:shd w:val="clear" w:color="auto" w:fill="FFFFFF"/>
        <w:tabs>
          <w:tab w:val="left" w:pos="1728"/>
        </w:tabs>
        <w:spacing w:before="178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Etanol</w:t>
      </w:r>
      <w:r w:rsidRPr="00E75BE2">
        <w:rPr>
          <w:rFonts w:ascii="Times New Roman" w:hAnsi="Times New Roman" w:cs="Times New Roman"/>
          <w:sz w:val="24"/>
          <w:szCs w:val="24"/>
        </w:rPr>
        <w:tab/>
        <w:t>8,07 mg/ml</w:t>
      </w:r>
    </w:p>
    <w:p w:rsidR="00176A72" w:rsidRPr="00E75BE2" w:rsidRDefault="00176A72" w:rsidP="00176A72">
      <w:pPr>
        <w:shd w:val="clear" w:color="auto" w:fill="FFFFFF"/>
        <w:tabs>
          <w:tab w:val="left" w:pos="1733"/>
        </w:tabs>
        <w:spacing w:line="55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Sukroz</w:t>
      </w:r>
      <w:r w:rsidRPr="00E75BE2">
        <w:rPr>
          <w:rFonts w:ascii="Times New Roman" w:hAnsi="Times New Roman" w:cs="Times New Roman"/>
          <w:sz w:val="24"/>
          <w:szCs w:val="24"/>
        </w:rPr>
        <w:tab/>
        <w:t>500 mg/ml</w:t>
      </w:r>
    </w:p>
    <w:p w:rsidR="00176A72" w:rsidRPr="00E75BE2" w:rsidRDefault="00176A72" w:rsidP="00176A72">
      <w:pPr>
        <w:shd w:val="clear" w:color="auto" w:fill="FFFFFF"/>
        <w:spacing w:line="55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Yardımcı maddeler için </w:t>
      </w:r>
      <w:proofErr w:type="gramStart"/>
      <w:r w:rsidRPr="00E75BE2">
        <w:rPr>
          <w:rFonts w:ascii="Times New Roman" w:hAnsi="Times New Roman" w:cs="Times New Roman"/>
          <w:spacing w:val="-4"/>
          <w:sz w:val="24"/>
          <w:szCs w:val="24"/>
        </w:rPr>
        <w:t>6.1</w:t>
      </w:r>
      <w:proofErr w:type="gramEnd"/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 'e bakınız.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5" w:line="55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3"/>
          <w:sz w:val="24"/>
          <w:szCs w:val="24"/>
        </w:rPr>
        <w:t>3.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FARMASÖTİK FORM</w:t>
      </w:r>
    </w:p>
    <w:p w:rsidR="00176A72" w:rsidRPr="00E75BE2" w:rsidRDefault="00176A72" w:rsidP="00176A72">
      <w:pPr>
        <w:shd w:val="clear" w:color="auto" w:fill="FFFFFF"/>
        <w:spacing w:before="120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5BE2">
        <w:rPr>
          <w:rFonts w:ascii="Times New Roman" w:hAnsi="Times New Roman" w:cs="Times New Roman"/>
          <w:spacing w:val="-4"/>
          <w:sz w:val="24"/>
          <w:szCs w:val="24"/>
        </w:rPr>
        <w:t>Kullanıma hazır oral süspansiyon.</w:t>
      </w:r>
      <w:proofErr w:type="gramEnd"/>
    </w:p>
    <w:p w:rsidR="00176A72" w:rsidRPr="00E75BE2" w:rsidRDefault="00176A72" w:rsidP="00176A72">
      <w:pPr>
        <w:shd w:val="clear" w:color="auto" w:fill="FFFFFF"/>
        <w:spacing w:before="178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5"/>
          <w:sz w:val="24"/>
          <w:szCs w:val="24"/>
        </w:rPr>
        <w:t>Hafif, krem sarısı, homojen, vişne/nane aromalı opak süspansiyon.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182" w:line="408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3"/>
          <w:sz w:val="24"/>
          <w:szCs w:val="24"/>
        </w:rPr>
        <w:t>4.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KLİNİK ÖZELLİKLER</w:t>
      </w:r>
    </w:p>
    <w:p w:rsidR="00176A72" w:rsidRPr="00E75BE2" w:rsidRDefault="00176A72" w:rsidP="00176A72">
      <w:pPr>
        <w:shd w:val="clear" w:color="auto" w:fill="FFFFFF"/>
        <w:tabs>
          <w:tab w:val="left" w:pos="725"/>
        </w:tabs>
        <w:spacing w:before="5" w:line="40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B30484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1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Terapötik endikasyonlar</w:t>
      </w:r>
    </w:p>
    <w:p w:rsidR="00176A72" w:rsidRPr="00E75BE2" w:rsidRDefault="00176A72" w:rsidP="00176A72">
      <w:pPr>
        <w:shd w:val="clear" w:color="auto" w:fill="FFFFFF"/>
        <w:spacing w:line="408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>MIKOSTATIN Oral Süspansiyon ağız boşluğu kandidiyazisinin tedavisinde endikedir.</w:t>
      </w:r>
    </w:p>
    <w:p w:rsidR="00176A72" w:rsidRPr="00E75BE2" w:rsidRDefault="00176A72" w:rsidP="00176A72">
      <w:pPr>
        <w:shd w:val="clear" w:color="auto" w:fill="FFFFFF"/>
        <w:tabs>
          <w:tab w:val="left" w:pos="725"/>
        </w:tabs>
        <w:spacing w:before="154" w:line="403" w:lineRule="exact"/>
        <w:ind w:left="14" w:right="5069"/>
        <w:rPr>
          <w:rFonts w:ascii="Times New Roman" w:hAnsi="Times New Roman" w:cs="Times New Roman"/>
          <w:b/>
          <w:bCs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Pozoloji ve uygulama şekli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br/>
        <w:t>Pozoloji / uygulama sıklığı ve süresi:</w:t>
      </w:r>
    </w:p>
    <w:p w:rsidR="00176A72" w:rsidRPr="00E75BE2" w:rsidRDefault="00176A72" w:rsidP="00176A72">
      <w:pPr>
        <w:shd w:val="clear" w:color="auto" w:fill="FFFFFF"/>
        <w:spacing w:line="403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i/>
          <w:iCs/>
          <w:spacing w:val="-4"/>
          <w:sz w:val="24"/>
          <w:szCs w:val="24"/>
        </w:rPr>
        <w:t>Yeni Doğan Bebekler:</w:t>
      </w:r>
    </w:p>
    <w:p w:rsidR="00F80A8F" w:rsidRPr="00E75BE2" w:rsidRDefault="00176A72" w:rsidP="00176A72">
      <w:pPr>
        <w:shd w:val="clear" w:color="auto" w:fill="FFFFFF"/>
        <w:spacing w:before="110" w:line="274" w:lineRule="exact"/>
        <w:ind w:left="24"/>
        <w:rPr>
          <w:rFonts w:ascii="Times New Roman" w:hAnsi="Times New Roman" w:cs="Times New Roman"/>
          <w:spacing w:val="-6"/>
          <w:sz w:val="24"/>
          <w:szCs w:val="24"/>
        </w:rPr>
      </w:pPr>
      <w:r w:rsidRPr="00E75BE2">
        <w:rPr>
          <w:rFonts w:ascii="Times New Roman" w:hAnsi="Times New Roman" w:cs="Times New Roman"/>
          <w:spacing w:val="-6"/>
          <w:sz w:val="24"/>
          <w:szCs w:val="24"/>
        </w:rPr>
        <w:t xml:space="preserve">Önerilen doz günde dört defa 1 ya da 2 ml'dir (100.000 ilâ 200.000 ünite nistatin). </w:t>
      </w:r>
    </w:p>
    <w:p w:rsidR="00176A72" w:rsidRPr="00E75BE2" w:rsidRDefault="00176A72" w:rsidP="00176A72">
      <w:pPr>
        <w:shd w:val="clear" w:color="auto" w:fill="FFFFFF"/>
        <w:spacing w:before="11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Prematüre ve düşük kilolu yeni doğan bebeklerde yapılan sınırlı klinik çalışmalar günde dört </w:t>
      </w:r>
      <w:r w:rsidRPr="00E75BE2">
        <w:rPr>
          <w:rFonts w:ascii="Times New Roman" w:hAnsi="Times New Roman" w:cs="Times New Roman"/>
          <w:sz w:val="24"/>
          <w:szCs w:val="24"/>
        </w:rPr>
        <w:t>defa bir ml'nin etkili olduğunu göstermektedir.</w:t>
      </w:r>
    </w:p>
    <w:p w:rsidR="00176A72" w:rsidRPr="00E75BE2" w:rsidRDefault="00176A72" w:rsidP="00176A72">
      <w:pPr>
        <w:shd w:val="clear" w:color="auto" w:fill="FFFFFF"/>
        <w:spacing w:before="312"/>
        <w:ind w:left="43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i/>
          <w:iCs/>
          <w:spacing w:val="-3"/>
          <w:sz w:val="24"/>
          <w:szCs w:val="24"/>
        </w:rPr>
        <w:t>Çocuklar ve Yetişkinler:</w:t>
      </w:r>
    </w:p>
    <w:p w:rsidR="00176A72" w:rsidRPr="00E75BE2" w:rsidRDefault="00176A72" w:rsidP="00176A72">
      <w:pPr>
        <w:shd w:val="clear" w:color="auto" w:fill="FFFFFF"/>
        <w:spacing w:before="139" w:line="278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5"/>
          <w:sz w:val="24"/>
          <w:szCs w:val="24"/>
        </w:rPr>
        <w:t xml:space="preserve">Günde dört defa 1 ilâ 6 ml dozlarda (100.000 ilâ 600.000 ünite nistatin) kullanılmıştır. </w:t>
      </w: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MIKOSTATIN Oral Süspansiyon uygulamasına, semptomlar ortadan kaybolduktan sonra en 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az 48 saat devam etmelidir. Eğer 14 gün tedaviden sonra bulgu ve semptomlar daha kötüye </w:t>
      </w:r>
      <w:r w:rsidRPr="00E75BE2">
        <w:rPr>
          <w:rFonts w:ascii="Times New Roman" w:hAnsi="Times New Roman" w:cs="Times New Roman"/>
          <w:spacing w:val="-6"/>
          <w:sz w:val="24"/>
          <w:szCs w:val="24"/>
        </w:rPr>
        <w:t>gider ya da devam ederse hasta yeniden değerlendirilmeli ve alternatif tedaviye başlanmalıdır.</w:t>
      </w:r>
    </w:p>
    <w:p w:rsidR="00176A72" w:rsidRPr="00E75BE2" w:rsidRDefault="00176A72" w:rsidP="00176A72">
      <w:pPr>
        <w:shd w:val="clear" w:color="auto" w:fill="FFFFFF"/>
        <w:spacing w:before="326"/>
        <w:ind w:left="38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t>Uygulama şekli:</w:t>
      </w:r>
    </w:p>
    <w:p w:rsidR="00176A72" w:rsidRPr="00E75BE2" w:rsidRDefault="00176A72" w:rsidP="00176A72">
      <w:pPr>
        <w:shd w:val="clear" w:color="auto" w:fill="FFFFFF"/>
        <w:spacing w:before="130" w:line="278" w:lineRule="exact"/>
        <w:ind w:left="34"/>
        <w:rPr>
          <w:rFonts w:ascii="Times New Roman" w:hAnsi="Times New Roman" w:cs="Times New Roman"/>
          <w:spacing w:val="-3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Süspansiyon yutulmadan önce ağızda mümkün olduğu kadar uzun süre (örn; bir kaç dakika) tutulmalıdır.</w:t>
      </w:r>
    </w:p>
    <w:p w:rsidR="00176A72" w:rsidRPr="00E75BE2" w:rsidRDefault="00176A72" w:rsidP="00176A72">
      <w:pPr>
        <w:shd w:val="clear" w:color="auto" w:fill="FFFFFF"/>
        <w:spacing w:before="158"/>
        <w:ind w:left="38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Yeni doğan bebeklerde ve küçük çocuklarda ağzın her iki tarafına dozun yarısı uygulanır.</w:t>
      </w:r>
    </w:p>
    <w:p w:rsidR="00176A72" w:rsidRPr="00E75BE2" w:rsidRDefault="00176A72" w:rsidP="00176A72">
      <w:p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  <w:sectPr w:rsidR="00176A72" w:rsidRPr="00E75BE2" w:rsidSect="001128E4">
          <w:footerReference w:type="default" r:id="rId6"/>
          <w:type w:val="continuous"/>
          <w:pgSz w:w="11909" w:h="16834"/>
          <w:pgMar w:top="1289" w:right="1375" w:bottom="360" w:left="1410" w:header="708" w:footer="708" w:gutter="0"/>
          <w:pgNumType w:start="1"/>
          <w:cols w:space="60"/>
          <w:noEndnote/>
        </w:sectPr>
      </w:pPr>
    </w:p>
    <w:p w:rsidR="00176A72" w:rsidRPr="00E75BE2" w:rsidRDefault="00176A72" w:rsidP="00176A72">
      <w:pPr>
        <w:shd w:val="clear" w:color="auto" w:fill="FFFFFF"/>
        <w:spacing w:before="326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Özel </w:t>
      </w:r>
      <w:proofErr w:type="gramStart"/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t>popülasyonlara</w:t>
      </w:r>
      <w:proofErr w:type="gramEnd"/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ilişkin ek bilgiler</w:t>
      </w:r>
    </w:p>
    <w:p w:rsidR="00176A72" w:rsidRPr="00E75BE2" w:rsidRDefault="00176A72" w:rsidP="00176A72">
      <w:pPr>
        <w:shd w:val="clear" w:color="auto" w:fill="FFFFFF"/>
        <w:spacing w:before="120" w:line="278" w:lineRule="exact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Böbrek/Karaciğer yetmezliği: 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Böbrek ve/veya karaciğer yetmezliği olan hastalarda </w:t>
      </w:r>
      <w:r w:rsidRPr="00E75BE2">
        <w:rPr>
          <w:rFonts w:ascii="Times New Roman" w:hAnsi="Times New Roman" w:cs="Times New Roman"/>
          <w:sz w:val="24"/>
          <w:szCs w:val="24"/>
        </w:rPr>
        <w:t>MIKOSTATIN Or</w:t>
      </w:r>
      <w:r w:rsidR="00F80A8F" w:rsidRPr="00E75BE2">
        <w:rPr>
          <w:rFonts w:ascii="Times New Roman" w:hAnsi="Times New Roman" w:cs="Times New Roman"/>
          <w:sz w:val="24"/>
          <w:szCs w:val="24"/>
        </w:rPr>
        <w:t>al Süspansiyon kullanımı araştırı</w:t>
      </w:r>
      <w:r w:rsidRPr="00E75BE2">
        <w:rPr>
          <w:rFonts w:ascii="Times New Roman" w:hAnsi="Times New Roman" w:cs="Times New Roman"/>
          <w:sz w:val="24"/>
          <w:szCs w:val="24"/>
        </w:rPr>
        <w:t>lmamıştır.</w:t>
      </w:r>
    </w:p>
    <w:p w:rsidR="00176A72" w:rsidRPr="00E75BE2" w:rsidRDefault="00176A72" w:rsidP="00176A72">
      <w:pPr>
        <w:shd w:val="clear" w:color="auto" w:fill="FFFFFF"/>
        <w:spacing w:before="115" w:line="278" w:lineRule="exact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t xml:space="preserve">Pediyatrik </w:t>
      </w:r>
      <w:proofErr w:type="gramStart"/>
      <w:r w:rsidRPr="00E75BE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E75B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5BE2">
        <w:rPr>
          <w:rFonts w:ascii="Times New Roman" w:hAnsi="Times New Roman" w:cs="Times New Roman"/>
          <w:sz w:val="24"/>
          <w:szCs w:val="24"/>
        </w:rPr>
        <w:t xml:space="preserve">MIKOSTATIN Oral Süspansiyon yeni doğan bebekler ve çocuklarda kullanılabilir </w:t>
      </w:r>
      <w:r w:rsidRPr="00E75BE2">
        <w:rPr>
          <w:rFonts w:ascii="Times New Roman" w:hAnsi="Times New Roman" w:cs="Times New Roman"/>
          <w:i/>
          <w:iCs/>
          <w:sz w:val="24"/>
          <w:szCs w:val="24"/>
        </w:rPr>
        <w:t>(bkz; bölüm 4.2).</w:t>
      </w:r>
    </w:p>
    <w:p w:rsidR="00176A72" w:rsidRPr="00E75BE2" w:rsidRDefault="00176A72" w:rsidP="00176A72">
      <w:pPr>
        <w:shd w:val="clear" w:color="auto" w:fill="FFFFFF"/>
        <w:spacing w:before="115" w:line="278" w:lineRule="exact"/>
        <w:ind w:left="14" w:right="77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t xml:space="preserve">Geriyatrik </w:t>
      </w:r>
      <w:proofErr w:type="gramStart"/>
      <w:r w:rsidRPr="00E75BE2">
        <w:rPr>
          <w:rFonts w:ascii="Times New Roman" w:hAnsi="Times New Roman" w:cs="Times New Roman"/>
          <w:b/>
          <w:bCs/>
          <w:sz w:val="24"/>
          <w:szCs w:val="24"/>
        </w:rPr>
        <w:t>popülasyon</w:t>
      </w:r>
      <w:proofErr w:type="gramEnd"/>
      <w:r w:rsidRPr="00E75B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5BE2">
        <w:rPr>
          <w:rFonts w:ascii="Times New Roman" w:hAnsi="Times New Roman" w:cs="Times New Roman"/>
          <w:sz w:val="24"/>
          <w:szCs w:val="24"/>
        </w:rPr>
        <w:t>Yaşlı hastalarda MIKOSTATIN Oral Süspansiyon kullanımı araştırılmamıştır.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326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B30484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3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7"/>
          <w:sz w:val="24"/>
          <w:szCs w:val="24"/>
        </w:rPr>
        <w:t>Kontrendikasyonlar</w:t>
      </w:r>
    </w:p>
    <w:p w:rsidR="00176A72" w:rsidRPr="00E75BE2" w:rsidRDefault="00176A72" w:rsidP="00176A72">
      <w:pPr>
        <w:shd w:val="clear" w:color="auto" w:fill="FFFFFF"/>
        <w:spacing w:before="178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Nistatine veya formülasyonun diğer bileşenlerine karşı alerjisi olanlarda kontrendikedir.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298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B30484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Özel kullanım uyarıları ve önlemleri</w:t>
      </w:r>
    </w:p>
    <w:p w:rsidR="00176A72" w:rsidRPr="00E75BE2" w:rsidRDefault="00176A72" w:rsidP="00176A72">
      <w:pPr>
        <w:shd w:val="clear" w:color="auto" w:fill="FFFFFF"/>
        <w:spacing w:before="178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MIKOSTATIN Oral Süspansiyon sistemik mikozların tedavisinde kullanılmamalıdır.</w:t>
      </w:r>
    </w:p>
    <w:p w:rsidR="00176A72" w:rsidRPr="00E75BE2" w:rsidRDefault="00176A72" w:rsidP="00176A72">
      <w:pPr>
        <w:shd w:val="clear" w:color="auto" w:fill="FFFFFF"/>
        <w:spacing w:before="163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Eğer iritasyon ya da duyarlılık gelişirse, tedavi kesilmelidir.</w:t>
      </w:r>
    </w:p>
    <w:p w:rsidR="00176A72" w:rsidRPr="00E75BE2" w:rsidRDefault="00176A72" w:rsidP="00176A72">
      <w:pPr>
        <w:shd w:val="clear" w:color="auto" w:fill="FFFFFF"/>
        <w:spacing w:before="120" w:line="278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Kandidiyazis teşhisini teyit etmek ve diğer patojenlerin neden olduğu enfeksiyonları bertaraf 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>etmek için KOH smear, kültür ya da diğer teşhis metodlarının kullanılması önerilir.</w:t>
      </w:r>
    </w:p>
    <w:p w:rsidR="00176A72" w:rsidRPr="00E75BE2" w:rsidRDefault="00176A72" w:rsidP="00176A72">
      <w:pPr>
        <w:shd w:val="clear" w:color="auto" w:fill="FFFFFF"/>
        <w:spacing w:before="154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MIKOSTATIN Oral Süspansiyon az miktarda (her ml'sinde 8,07 mg) etanol (alkol) içerir.</w:t>
      </w:r>
    </w:p>
    <w:p w:rsidR="00176A72" w:rsidRPr="00E75BE2" w:rsidRDefault="00176A72" w:rsidP="00176A72">
      <w:pPr>
        <w:shd w:val="clear" w:color="auto" w:fill="FFFFFF"/>
        <w:spacing w:before="115" w:line="278" w:lineRule="exact"/>
        <w:ind w:left="10" w:right="53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 xml:space="preserve">Nadir kalıtımsal früktoz intoleransı, glikoz-galaktoz malabsorpsiyon veya sükraz-izomaltaz </w:t>
      </w:r>
      <w:r w:rsidRPr="00E75BE2">
        <w:rPr>
          <w:rFonts w:ascii="Times New Roman" w:hAnsi="Times New Roman" w:cs="Times New Roman"/>
          <w:sz w:val="24"/>
          <w:szCs w:val="24"/>
        </w:rPr>
        <w:t xml:space="preserve">yetmezliği problemi olan </w:t>
      </w:r>
      <w:r w:rsidR="00902E1F" w:rsidRPr="00E75BE2">
        <w:rPr>
          <w:rFonts w:ascii="Times New Roman" w:hAnsi="Times New Roman" w:cs="Times New Roman"/>
          <w:sz w:val="24"/>
          <w:szCs w:val="24"/>
        </w:rPr>
        <w:t>hastaları</w:t>
      </w:r>
      <w:r w:rsidRPr="00E75BE2">
        <w:rPr>
          <w:rFonts w:ascii="Times New Roman" w:hAnsi="Times New Roman" w:cs="Times New Roman"/>
          <w:sz w:val="24"/>
          <w:szCs w:val="24"/>
        </w:rPr>
        <w:t>n bu ilacı kullanmamaları gerekir.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317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4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B30484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5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176A72" w:rsidRPr="00E75BE2" w:rsidRDefault="00176A72" w:rsidP="00176A72">
      <w:pPr>
        <w:shd w:val="clear" w:color="auto" w:fill="FFFFFF"/>
        <w:spacing w:before="173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Bilinen bir etkileşim yoktur.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178" w:line="413" w:lineRule="exact"/>
        <w:ind w:left="10" w:right="6182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sz w:val="24"/>
          <w:szCs w:val="24"/>
        </w:rPr>
        <w:t>4.6</w:t>
      </w:r>
      <w:r w:rsidRPr="00E75BE2">
        <w:rPr>
          <w:rFonts w:ascii="Times New Roman" w:hAnsi="Times New Roman" w:cs="Times New Roman"/>
          <w:b/>
          <w:sz w:val="24"/>
          <w:szCs w:val="24"/>
        </w:rPr>
        <w:tab/>
        <w:t>Gebelik ve laktasyon</w:t>
      </w:r>
      <w:r w:rsidRPr="00E75BE2">
        <w:rPr>
          <w:rFonts w:ascii="Times New Roman" w:hAnsi="Times New Roman" w:cs="Times New Roman"/>
          <w:b/>
          <w:bCs/>
          <w:spacing w:val="-12"/>
          <w:sz w:val="24"/>
          <w:szCs w:val="24"/>
        </w:rPr>
        <w:br/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>Genel tavsiye</w:t>
      </w:r>
    </w:p>
    <w:p w:rsidR="00176A72" w:rsidRPr="00E75BE2" w:rsidRDefault="00176A72" w:rsidP="00176A72">
      <w:pPr>
        <w:shd w:val="clear" w:color="auto" w:fill="FFFFFF"/>
        <w:spacing w:line="413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Gebelik Kategorisi: C.</w:t>
      </w:r>
    </w:p>
    <w:p w:rsidR="00176A72" w:rsidRPr="00E75BE2" w:rsidRDefault="00176A72" w:rsidP="00176A72">
      <w:pPr>
        <w:shd w:val="clear" w:color="auto" w:fill="FFFFFF"/>
        <w:spacing w:before="110" w:line="274" w:lineRule="exact"/>
        <w:ind w:left="24"/>
        <w:rPr>
          <w:rFonts w:ascii="Times New Roman" w:hAnsi="Times New Roman" w:cs="Times New Roman"/>
          <w:b/>
          <w:bCs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t>Çocuk doğurma potansiyeli bulunan kadınlar/Doğum kontrolü (Kontrasepsiyon)</w:t>
      </w:r>
    </w:p>
    <w:p w:rsidR="00176A72" w:rsidRPr="00E75BE2" w:rsidRDefault="00176A72" w:rsidP="00176A72">
      <w:pPr>
        <w:shd w:val="clear" w:color="auto" w:fill="FFFFFF"/>
        <w:spacing w:line="274" w:lineRule="exact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Nistatin'in gebe kadınlarda kullanımına ilişkin yeterli veri mevcut değildir. Gebe bir kadına </w:t>
      </w:r>
      <w:r w:rsidRPr="00E75BE2">
        <w:rPr>
          <w:rFonts w:ascii="Times New Roman" w:hAnsi="Times New Roman" w:cs="Times New Roman"/>
          <w:spacing w:val="-1"/>
          <w:sz w:val="24"/>
          <w:szCs w:val="24"/>
        </w:rPr>
        <w:t xml:space="preserve">uygulandığı zaman fetüse zarar verip vermeyeceği ya da üreme kapasitesini etkileyip </w:t>
      </w:r>
      <w:r w:rsidRPr="00E75BE2">
        <w:rPr>
          <w:rFonts w:ascii="Times New Roman" w:hAnsi="Times New Roman" w:cs="Times New Roman"/>
          <w:sz w:val="24"/>
          <w:szCs w:val="24"/>
        </w:rPr>
        <w:t>etkilemeyeceği bilinmemektedir.</w:t>
      </w:r>
    </w:p>
    <w:p w:rsidR="00176A72" w:rsidRPr="00E75BE2" w:rsidRDefault="00176A72" w:rsidP="00176A72">
      <w:pPr>
        <w:shd w:val="clear" w:color="auto" w:fill="FFFFFF"/>
        <w:spacing w:line="274" w:lineRule="exact"/>
        <w:ind w:left="19" w:right="38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Hayvanlar üzerinde üreme toksisitesi çalışması yapılmamıştır. İnsanlara yönelik potansiyel </w:t>
      </w:r>
      <w:r w:rsidRPr="00E75BE2">
        <w:rPr>
          <w:rFonts w:ascii="Times New Roman" w:hAnsi="Times New Roman" w:cs="Times New Roman"/>
          <w:sz w:val="24"/>
          <w:szCs w:val="24"/>
        </w:rPr>
        <w:t>risk bilinmemektedir.</w:t>
      </w:r>
    </w:p>
    <w:p w:rsidR="00176A72" w:rsidRPr="00E75BE2" w:rsidRDefault="00176A72" w:rsidP="00176A72">
      <w:pPr>
        <w:shd w:val="clear" w:color="auto" w:fill="FFFFFF"/>
        <w:spacing w:before="278" w:line="27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9"/>
          <w:sz w:val="24"/>
          <w:szCs w:val="24"/>
        </w:rPr>
        <w:t>Gebelik dönemi</w:t>
      </w:r>
    </w:p>
    <w:p w:rsidR="00176A72" w:rsidRPr="00E75BE2" w:rsidRDefault="00176A72" w:rsidP="00176A72">
      <w:pPr>
        <w:shd w:val="clear" w:color="auto" w:fill="FFFFFF"/>
        <w:spacing w:line="274" w:lineRule="exact"/>
        <w:ind w:left="29" w:right="2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MIKOSTATIN Oral Süspansiyon, gebe kadınlarda yalnızca eğer anneye olan potansiyel </w:t>
      </w:r>
      <w:r w:rsidRPr="00E75BE2">
        <w:rPr>
          <w:rFonts w:ascii="Times New Roman" w:hAnsi="Times New Roman" w:cs="Times New Roman"/>
          <w:spacing w:val="-5"/>
          <w:sz w:val="24"/>
          <w:szCs w:val="24"/>
        </w:rPr>
        <w:t>yararı fetusa gelecek olan potansiyel riskten daha fazlaysa reçetelenmelidir.</w:t>
      </w:r>
    </w:p>
    <w:p w:rsidR="00176A72" w:rsidRPr="00E75BE2" w:rsidRDefault="00176A72" w:rsidP="00176A72">
      <w:pPr>
        <w:shd w:val="clear" w:color="auto" w:fill="FFFFFF"/>
        <w:spacing w:before="274" w:line="278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9"/>
          <w:sz w:val="24"/>
          <w:szCs w:val="24"/>
        </w:rPr>
        <w:t>Laktasyon dönemi</w:t>
      </w:r>
    </w:p>
    <w:p w:rsidR="00176A72" w:rsidRPr="00E75BE2" w:rsidRDefault="00176A72" w:rsidP="00176A72">
      <w:pPr>
        <w:shd w:val="clear" w:color="auto" w:fill="FFFFFF"/>
        <w:spacing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Nistatinin insan sütüyle atılıp atılmadığı bilinmemektedir. Her ne kadar gastrointestinal 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kanaldan çok az absorbe olsa da, emziren bir kadına nistatin reçete edileceği zaman dikkatli </w:t>
      </w:r>
      <w:r w:rsidRPr="00E75BE2">
        <w:rPr>
          <w:rFonts w:ascii="Times New Roman" w:hAnsi="Times New Roman" w:cs="Times New Roman"/>
          <w:sz w:val="24"/>
          <w:szCs w:val="24"/>
        </w:rPr>
        <w:t>olunmalıdır. Emzirm</w:t>
      </w:r>
      <w:r w:rsidR="00902E1F" w:rsidRPr="00E75BE2">
        <w:rPr>
          <w:rFonts w:ascii="Times New Roman" w:hAnsi="Times New Roman" w:cs="Times New Roman"/>
          <w:sz w:val="24"/>
          <w:szCs w:val="24"/>
        </w:rPr>
        <w:t>enin durdurulup durdurulmayacağın</w:t>
      </w:r>
      <w:r w:rsidRPr="00E75BE2">
        <w:rPr>
          <w:rFonts w:ascii="Times New Roman" w:hAnsi="Times New Roman" w:cs="Times New Roman"/>
          <w:sz w:val="24"/>
          <w:szCs w:val="24"/>
        </w:rPr>
        <w:t xml:space="preserve">a ya da MIKOSTATIN Oral 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>Süspansiyon tedavis</w:t>
      </w:r>
      <w:r w:rsidR="00902E1F" w:rsidRPr="00E75BE2">
        <w:rPr>
          <w:rFonts w:ascii="Times New Roman" w:hAnsi="Times New Roman" w:cs="Times New Roman"/>
          <w:spacing w:val="-3"/>
          <w:sz w:val="24"/>
          <w:szCs w:val="24"/>
        </w:rPr>
        <w:t>inin durdurulup durdurulmayacağın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a ilişkin karar verilirken, emzirmenin </w:t>
      </w:r>
      <w:r w:rsidRPr="00E75BE2">
        <w:rPr>
          <w:rFonts w:ascii="Times New Roman" w:hAnsi="Times New Roman" w:cs="Times New Roman"/>
          <w:sz w:val="24"/>
          <w:szCs w:val="24"/>
        </w:rPr>
        <w:lastRenderedPageBreak/>
        <w:t>çocuk açısından faydası ve MIKOSTATIN Oral Süspansiyon tedavisinin emziren anne açısından faydası dikkate alınmalıdır.</w:t>
      </w:r>
    </w:p>
    <w:p w:rsidR="00176A72" w:rsidRPr="00E75BE2" w:rsidRDefault="00176A72" w:rsidP="00AF7737">
      <w:p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ind w:left="5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>Üreme yeteneği / Fertilite</w:t>
      </w:r>
    </w:p>
    <w:p w:rsidR="00176A72" w:rsidRPr="00E75BE2" w:rsidRDefault="00176A72" w:rsidP="00176A72">
      <w:pPr>
        <w:shd w:val="clear" w:color="auto" w:fill="FFFFFF"/>
        <w:spacing w:before="43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Nistatinin üreme yeteneği üzerine etkisi araştırılmamıştır.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331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4</w:t>
      </w:r>
      <w:proofErr w:type="gramStart"/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.</w:t>
      </w:r>
      <w:r w:rsidR="00B30484"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7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Araç ve makine kullanımı üzerindeki etkiler</w:t>
      </w:r>
    </w:p>
    <w:p w:rsidR="00176A72" w:rsidRPr="00E75BE2" w:rsidRDefault="00176A72" w:rsidP="00176A72">
      <w:pPr>
        <w:shd w:val="clear" w:color="auto" w:fill="FFFFFF"/>
        <w:spacing w:before="144" w:line="274" w:lineRule="exact"/>
        <w:ind w:left="10" w:right="43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MIKOSTATIN Oral Süspansiyon'un araç ve makine kullanımı üzerine etkisi konusunda 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çalışma yoktur. Ancak, bazı kişilerde bulantı veya kusmaya neden olabilir </w:t>
      </w:r>
      <w:r w:rsidRPr="00E75B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(bkz. bölüm </w:t>
      </w:r>
      <w:proofErr w:type="gramStart"/>
      <w:r w:rsidRPr="00E75BE2">
        <w:rPr>
          <w:rFonts w:ascii="Times New Roman" w:hAnsi="Times New Roman" w:cs="Times New Roman"/>
          <w:i/>
          <w:iCs/>
          <w:spacing w:val="-3"/>
          <w:sz w:val="24"/>
          <w:szCs w:val="24"/>
        </w:rPr>
        <w:t>4.8</w:t>
      </w:r>
      <w:proofErr w:type="gramEnd"/>
      <w:r w:rsidRPr="00E75BE2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). </w:t>
      </w:r>
      <w:r w:rsidRPr="00E75BE2">
        <w:rPr>
          <w:rFonts w:ascii="Times New Roman" w:hAnsi="Times New Roman" w:cs="Times New Roman"/>
          <w:sz w:val="24"/>
          <w:szCs w:val="24"/>
        </w:rPr>
        <w:t>Bu nedenle hastalar uyarılmalıdır.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293"/>
        <w:ind w:left="10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4.8</w:t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ab/>
        <w:t>İstenmeyen etkiler</w:t>
      </w:r>
    </w:p>
    <w:p w:rsidR="00176A72" w:rsidRPr="00E75BE2" w:rsidRDefault="00176A72" w:rsidP="00176A72">
      <w:pPr>
        <w:shd w:val="clear" w:color="auto" w:fill="FFFFFF"/>
        <w:spacing w:before="134" w:line="278" w:lineRule="exact"/>
        <w:ind w:left="10" w:right="48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Nistatin, zayıf doğmuş bebekler dahil bütün yaş gruplarınca, uzun süreli uygulamalarda bile </w:t>
      </w:r>
      <w:r w:rsidRPr="00E75BE2">
        <w:rPr>
          <w:rFonts w:ascii="Times New Roman" w:hAnsi="Times New Roman" w:cs="Times New Roman"/>
          <w:sz w:val="24"/>
          <w:szCs w:val="24"/>
        </w:rPr>
        <w:t>genelde iyi tolere edilir.</w:t>
      </w:r>
    </w:p>
    <w:p w:rsidR="00176A72" w:rsidRPr="00E75BE2" w:rsidRDefault="00176A72" w:rsidP="00176A72">
      <w:pPr>
        <w:shd w:val="clear" w:color="auto" w:fill="FFFFFF"/>
        <w:spacing w:before="274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MIKOSTATIN ile ilgili istenmeyen etkilerin sıklığı aşağıdaki şekilde sınıflandırılmıştır: </w:t>
      </w:r>
      <w:r w:rsidRPr="00E75BE2">
        <w:rPr>
          <w:rFonts w:ascii="Times New Roman" w:hAnsi="Times New Roman" w:cs="Times New Roman"/>
          <w:spacing w:val="-8"/>
          <w:sz w:val="24"/>
          <w:szCs w:val="24"/>
        </w:rPr>
        <w:t xml:space="preserve">Çok yaygın (≥ 1/10), yaygın (≥ </w:t>
      </w:r>
      <w:r w:rsidR="00B30484" w:rsidRPr="00E75BE2">
        <w:rPr>
          <w:rFonts w:ascii="Times New Roman" w:hAnsi="Times New Roman" w:cs="Times New Roman"/>
          <w:spacing w:val="-8"/>
          <w:sz w:val="24"/>
          <w:szCs w:val="24"/>
        </w:rPr>
        <w:t>1/</w:t>
      </w:r>
      <w:r w:rsidRPr="00E75BE2">
        <w:rPr>
          <w:rFonts w:ascii="Times New Roman" w:hAnsi="Times New Roman" w:cs="Times New Roman"/>
          <w:spacing w:val="-8"/>
          <w:sz w:val="24"/>
          <w:szCs w:val="24"/>
        </w:rPr>
        <w:t xml:space="preserve">100 ila &lt;1/10), yaygın olmayan (≥ 1/1000 ila &lt;1/100), seyrek </w:t>
      </w:r>
      <w:r w:rsidRPr="00E75BE2">
        <w:rPr>
          <w:rFonts w:ascii="Times New Roman" w:hAnsi="Times New Roman" w:cs="Times New Roman"/>
          <w:sz w:val="24"/>
          <w:szCs w:val="24"/>
        </w:rPr>
        <w:t>(≥ 1/10000 ila &lt;1/1000), çok seyrek (&lt;1/10000), bilinmiyor (eldeki verilerden hareketle tahmin edilemiyor)</w:t>
      </w:r>
    </w:p>
    <w:p w:rsidR="00176A72" w:rsidRPr="00E75BE2" w:rsidRDefault="00176A72" w:rsidP="00176A72">
      <w:pPr>
        <w:shd w:val="clear" w:color="auto" w:fill="FFFFFF"/>
        <w:spacing w:before="317"/>
        <w:ind w:left="19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Gastrointestinal hastalıklar</w:t>
      </w:r>
    </w:p>
    <w:p w:rsidR="00176A72" w:rsidRPr="00E75BE2" w:rsidRDefault="00176A72" w:rsidP="00176A72">
      <w:pPr>
        <w:shd w:val="clear" w:color="auto" w:fill="FFFFFF"/>
        <w:spacing w:before="43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Yaygın: Diyare, gastrointestinal rahatsızlık, bulantı, kusma</w:t>
      </w:r>
    </w:p>
    <w:p w:rsidR="00176A72" w:rsidRPr="00E75BE2" w:rsidRDefault="00176A72" w:rsidP="00176A72">
      <w:pPr>
        <w:shd w:val="clear" w:color="auto" w:fill="FFFFFF"/>
        <w:spacing w:before="288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Deri ve deri altı doku hastalıkları</w:t>
      </w:r>
    </w:p>
    <w:p w:rsidR="00176A72" w:rsidRPr="00E75BE2" w:rsidRDefault="00176A72" w:rsidP="00176A72">
      <w:pPr>
        <w:shd w:val="clear" w:color="auto" w:fill="FFFFFF"/>
        <w:spacing w:line="274" w:lineRule="exact"/>
        <w:ind w:left="19" w:right="506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Bilinmiyor: Ürtiker dahil döküntü </w:t>
      </w:r>
      <w:r w:rsidRPr="00E75BE2">
        <w:rPr>
          <w:rFonts w:ascii="Times New Roman" w:hAnsi="Times New Roman" w:cs="Times New Roman"/>
          <w:spacing w:val="-6"/>
          <w:sz w:val="24"/>
          <w:szCs w:val="24"/>
        </w:rPr>
        <w:t>Bilinmiyor: Stevens-Johnson sendromu</w:t>
      </w:r>
    </w:p>
    <w:p w:rsidR="00176A72" w:rsidRPr="00E75BE2" w:rsidRDefault="00176A72" w:rsidP="00176A72">
      <w:pPr>
        <w:shd w:val="clear" w:color="auto" w:fill="FFFFFF"/>
        <w:spacing w:before="278" w:line="274" w:lineRule="exact"/>
        <w:ind w:left="19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Pazarlama sonrası bildirilen advers etkiler:</w:t>
      </w:r>
    </w:p>
    <w:p w:rsidR="00176A72" w:rsidRPr="00E75BE2" w:rsidRDefault="00176A72" w:rsidP="00176A72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Hipersensitivite</w:t>
      </w:r>
    </w:p>
    <w:p w:rsidR="00176A72" w:rsidRDefault="00176A72" w:rsidP="00176A72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pacing w:val="-3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Anjiyoödem (yüz ödemi de dahil)</w:t>
      </w:r>
    </w:p>
    <w:p w:rsidR="00E75BE2" w:rsidRPr="00E75BE2" w:rsidRDefault="00E75BE2" w:rsidP="00176A72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E75BE2" w:rsidRPr="00607EAA" w:rsidRDefault="00E75BE2" w:rsidP="00E75BE2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EAA">
        <w:rPr>
          <w:rFonts w:ascii="Times New Roman" w:hAnsi="Times New Roman" w:cs="Times New Roman"/>
          <w:sz w:val="24"/>
          <w:szCs w:val="24"/>
          <w:u w:val="single"/>
        </w:rPr>
        <w:t xml:space="preserve">Şüpheli </w:t>
      </w:r>
      <w:proofErr w:type="spellStart"/>
      <w:r w:rsidRPr="00607EAA">
        <w:rPr>
          <w:rFonts w:ascii="Times New Roman" w:hAnsi="Times New Roman" w:cs="Times New Roman"/>
          <w:sz w:val="24"/>
          <w:szCs w:val="24"/>
          <w:u w:val="single"/>
        </w:rPr>
        <w:t>advers</w:t>
      </w:r>
      <w:proofErr w:type="spellEnd"/>
      <w:r w:rsidRPr="00607EAA">
        <w:rPr>
          <w:rFonts w:ascii="Times New Roman" w:hAnsi="Times New Roman" w:cs="Times New Roman"/>
          <w:sz w:val="24"/>
          <w:szCs w:val="24"/>
          <w:u w:val="single"/>
        </w:rPr>
        <w:t xml:space="preserve"> reaksiyonların raporlanması</w:t>
      </w:r>
    </w:p>
    <w:p w:rsidR="00E75BE2" w:rsidRPr="00607EAA" w:rsidRDefault="00E75BE2" w:rsidP="00E75BE2">
      <w:pPr>
        <w:shd w:val="clear" w:color="auto" w:fill="FFFFFF"/>
        <w:spacing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607EAA">
        <w:rPr>
          <w:rFonts w:ascii="Times New Roman" w:hAnsi="Times New Roman" w:cs="Times New Roman"/>
          <w:sz w:val="24"/>
          <w:szCs w:val="24"/>
        </w:rPr>
        <w:t xml:space="preserve">Ruhsatlandırma sonrası şüpheli ilaç 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 xml:space="preserve"> reaksiyonu Türkiye 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Farmakovijilans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 xml:space="preserve"> Merkezi (TÜFAM)'ne bildirmeleri gerekmektedir. (www.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 xml:space="preserve">.gov.tr;          e-posta: 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tufam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07EAA">
        <w:rPr>
          <w:rFonts w:ascii="Times New Roman" w:hAnsi="Times New Roman" w:cs="Times New Roman"/>
          <w:sz w:val="24"/>
          <w:szCs w:val="24"/>
        </w:rPr>
        <w:t>titck</w:t>
      </w:r>
      <w:proofErr w:type="spellEnd"/>
      <w:r w:rsidRPr="00607EAA">
        <w:rPr>
          <w:rFonts w:ascii="Times New Roman" w:hAnsi="Times New Roman" w:cs="Times New Roman"/>
          <w:sz w:val="24"/>
          <w:szCs w:val="24"/>
        </w:rPr>
        <w:t>.gov.tr; tel: 0 800 314 00 08; faks: 0 312 218 35 99)</w:t>
      </w:r>
    </w:p>
    <w:p w:rsidR="00176A72" w:rsidRPr="00E75BE2" w:rsidRDefault="00176A72" w:rsidP="00176A72">
      <w:pPr>
        <w:shd w:val="clear" w:color="auto" w:fill="FFFFFF"/>
        <w:tabs>
          <w:tab w:val="left" w:pos="715"/>
        </w:tabs>
        <w:spacing w:before="317"/>
        <w:ind w:left="10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4.9</w:t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ab/>
        <w:t>Doz aşımı ve tedavisi</w:t>
      </w:r>
    </w:p>
    <w:p w:rsidR="00176A72" w:rsidRDefault="00176A72" w:rsidP="00176A72">
      <w:pPr>
        <w:shd w:val="clear" w:color="auto" w:fill="FFFFFF"/>
        <w:spacing w:before="139" w:line="274" w:lineRule="exact"/>
        <w:ind w:left="14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Günde 5 milyon üniteyi geçen oral nistatin dozları bulantı ve gastrointestinal rahatsızlığa neden olmuştur </w:t>
      </w:r>
      <w:r w:rsidRPr="00E75BE2">
        <w:rPr>
          <w:rFonts w:ascii="Times New Roman" w:hAnsi="Times New Roman" w:cs="Times New Roman"/>
          <w:i/>
          <w:iCs/>
          <w:sz w:val="24"/>
          <w:szCs w:val="24"/>
        </w:rPr>
        <w:t xml:space="preserve">(bkz; bölüm </w:t>
      </w:r>
      <w:proofErr w:type="gramStart"/>
      <w:r w:rsidRPr="00E75BE2">
        <w:rPr>
          <w:rFonts w:ascii="Times New Roman" w:hAnsi="Times New Roman" w:cs="Times New Roman"/>
          <w:i/>
          <w:iCs/>
          <w:sz w:val="24"/>
          <w:szCs w:val="24"/>
        </w:rPr>
        <w:t>5.2</w:t>
      </w:r>
      <w:proofErr w:type="gramEnd"/>
      <w:r w:rsidRPr="00E75BE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E75BE2" w:rsidRDefault="00E75BE2" w:rsidP="00176A72">
      <w:pPr>
        <w:shd w:val="clear" w:color="auto" w:fill="FFFFFF"/>
        <w:spacing w:before="139" w:line="274" w:lineRule="exact"/>
        <w:ind w:left="14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5BE2" w:rsidRDefault="00E75BE2" w:rsidP="00176A72">
      <w:pPr>
        <w:shd w:val="clear" w:color="auto" w:fill="FFFFFF"/>
        <w:spacing w:before="139" w:line="274" w:lineRule="exact"/>
        <w:ind w:left="14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5BE2" w:rsidRDefault="00E75BE2" w:rsidP="00176A72">
      <w:pPr>
        <w:shd w:val="clear" w:color="auto" w:fill="FFFFFF"/>
        <w:spacing w:before="139" w:line="274" w:lineRule="exact"/>
        <w:ind w:left="14" w:right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75BE2" w:rsidRPr="00E75BE2" w:rsidRDefault="00E75BE2" w:rsidP="00176A72">
      <w:pPr>
        <w:shd w:val="clear" w:color="auto" w:fill="FFFFFF"/>
        <w:spacing w:before="139" w:line="274" w:lineRule="exact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10AF0" w:rsidRPr="00E75BE2" w:rsidRDefault="00176A72" w:rsidP="00176A72">
      <w:pPr>
        <w:shd w:val="clear" w:color="auto" w:fill="FFFFFF"/>
        <w:spacing w:before="173" w:line="413" w:lineRule="exact"/>
        <w:ind w:left="19" w:right="4608"/>
        <w:rPr>
          <w:rFonts w:ascii="Times New Roman" w:hAnsi="Times New Roman" w:cs="Times New Roman"/>
          <w:b/>
          <w:bCs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   FARMAKOLOJİK ÖZELLİKLER </w:t>
      </w:r>
    </w:p>
    <w:p w:rsidR="00176A72" w:rsidRPr="00E75BE2" w:rsidRDefault="00176A72" w:rsidP="00176A72">
      <w:pPr>
        <w:shd w:val="clear" w:color="auto" w:fill="FFFFFF"/>
        <w:spacing w:before="173" w:line="413" w:lineRule="exact"/>
        <w:ind w:left="19" w:right="4608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7"/>
          <w:sz w:val="24"/>
          <w:szCs w:val="24"/>
        </w:rPr>
        <w:t>5.1      Farmakodinamik özellikler</w:t>
      </w:r>
    </w:p>
    <w:p w:rsidR="00176A72" w:rsidRPr="00E75BE2" w:rsidRDefault="00176A72" w:rsidP="00176A72">
      <w:pPr>
        <w:shd w:val="clear" w:color="auto" w:fill="FFFFFF"/>
        <w:spacing w:before="96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5"/>
          <w:sz w:val="24"/>
          <w:szCs w:val="24"/>
        </w:rPr>
        <w:t>Farmakoterapötik grup: İntestinal antienfektifler</w:t>
      </w:r>
    </w:p>
    <w:p w:rsidR="00176A72" w:rsidRPr="00E75BE2" w:rsidRDefault="00176A72" w:rsidP="00176A72">
      <w:pPr>
        <w:shd w:val="clear" w:color="auto" w:fill="FFFFFF"/>
        <w:spacing w:before="130" w:line="283" w:lineRule="exact"/>
        <w:ind w:left="24" w:right="6912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ATC kodu: A07AA02 Mikrobiyolojisi:</w:t>
      </w:r>
    </w:p>
    <w:p w:rsidR="001128E4" w:rsidRPr="00E75BE2" w:rsidRDefault="00176A72" w:rsidP="001128E4">
      <w:pPr>
        <w:shd w:val="clear" w:color="auto" w:fill="FFFFFF"/>
        <w:spacing w:before="125" w:line="278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Nistatin, polien antifungal bir antibiyotiktir. Maya ve maya benzeri mantarlara karşı </w:t>
      </w:r>
      <w:r w:rsidRPr="00E75BE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in vitro </w:t>
      </w:r>
      <w:r w:rsidRPr="00E75BE2">
        <w:rPr>
          <w:rFonts w:ascii="Times New Roman" w:hAnsi="Times New Roman" w:cs="Times New Roman"/>
          <w:spacing w:val="-1"/>
          <w:sz w:val="24"/>
          <w:szCs w:val="24"/>
        </w:rPr>
        <w:t xml:space="preserve">olarak fungistatik ve fungusidal etkilidir. Nistatin, </w:t>
      </w:r>
      <w:r w:rsidRPr="00E75BE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Candida </w:t>
      </w:r>
      <w:r w:rsidRPr="00E75BE2">
        <w:rPr>
          <w:rFonts w:ascii="Times New Roman" w:hAnsi="Times New Roman" w:cs="Times New Roman"/>
          <w:spacing w:val="-1"/>
          <w:sz w:val="24"/>
          <w:szCs w:val="24"/>
        </w:rPr>
        <w:t xml:space="preserve">türlerinin muhtemelen mantar hücrelerinin membranındaki sterollere bağlanarak, membranın geçirgenliğini değiştirir ve </w:t>
      </w: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bunu takiben hücre içi elemanların hücre dışına sızmasına yol açar. Artan nistatin düzeyleri 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ile tekrarlanan alt kültürlerde </w:t>
      </w:r>
      <w:r w:rsidRPr="00E75BE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Candida albicans 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nistatine direnç geliştirmez. Genellikle, tedavi </w:t>
      </w:r>
      <w:r w:rsidRPr="00E75BE2">
        <w:rPr>
          <w:rFonts w:ascii="Times New Roman" w:hAnsi="Times New Roman" w:cs="Times New Roman"/>
          <w:spacing w:val="-1"/>
          <w:sz w:val="24"/>
          <w:szCs w:val="24"/>
        </w:rPr>
        <w:t xml:space="preserve">sırasında nistatine direnç gelişmez. Nistatin bakterilere, protozoalara veya virüslere karşı </w:t>
      </w:r>
      <w:r w:rsidRPr="00E75BE2">
        <w:rPr>
          <w:rFonts w:ascii="Times New Roman" w:hAnsi="Times New Roman" w:cs="Times New Roman"/>
          <w:sz w:val="24"/>
          <w:szCs w:val="24"/>
        </w:rPr>
        <w:t>aktivite göstermez.</w:t>
      </w:r>
    </w:p>
    <w:p w:rsidR="00176A72" w:rsidRPr="00E75BE2" w:rsidRDefault="001128E4" w:rsidP="001128E4">
      <w:pPr>
        <w:shd w:val="clear" w:color="auto" w:fill="FFFFFF"/>
        <w:spacing w:before="125" w:line="278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A72" w:rsidRPr="00E75BE2" w:rsidRDefault="00176A72" w:rsidP="00176A72">
      <w:pPr>
        <w:shd w:val="clear" w:color="auto" w:fill="FFFFFF"/>
        <w:tabs>
          <w:tab w:val="left" w:pos="720"/>
        </w:tabs>
        <w:spacing w:line="413" w:lineRule="exact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5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A35280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2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8"/>
          <w:sz w:val="24"/>
          <w:szCs w:val="24"/>
        </w:rPr>
        <w:t>Farmakokinetik özellikler</w:t>
      </w:r>
    </w:p>
    <w:p w:rsidR="00176A72" w:rsidRPr="00E75BE2" w:rsidRDefault="00176A72" w:rsidP="00176A72">
      <w:pPr>
        <w:shd w:val="clear" w:color="auto" w:fill="FFFFFF"/>
        <w:spacing w:line="413" w:lineRule="exact"/>
        <w:ind w:left="14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6"/>
          <w:sz w:val="24"/>
          <w:szCs w:val="24"/>
        </w:rPr>
        <w:t>Genel özellikler</w:t>
      </w:r>
    </w:p>
    <w:p w:rsidR="00176A72" w:rsidRPr="00E75BE2" w:rsidRDefault="00176A72" w:rsidP="00176A72">
      <w:pPr>
        <w:shd w:val="clear" w:color="auto" w:fill="FFFFFF"/>
        <w:spacing w:line="413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  <w:u w:val="single"/>
        </w:rPr>
        <w:t>Emilim</w:t>
      </w:r>
      <w:r w:rsidRPr="00E75BE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76A72" w:rsidRPr="00E75BE2" w:rsidRDefault="00176A72" w:rsidP="00176A72">
      <w:pPr>
        <w:shd w:val="clear" w:color="auto" w:fill="FFFFFF"/>
        <w:spacing w:before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6"/>
          <w:sz w:val="24"/>
          <w:szCs w:val="24"/>
        </w:rPr>
        <w:t>Nistatin gastrointestinal kanaldan çok az miktarda absorbe olur.</w:t>
      </w:r>
    </w:p>
    <w:p w:rsidR="00176A72" w:rsidRPr="00E75BE2" w:rsidRDefault="00176A72" w:rsidP="00176A72">
      <w:pPr>
        <w:shd w:val="clear" w:color="auto" w:fill="FFFFFF"/>
        <w:spacing w:before="322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  <w:u w:val="single"/>
        </w:rPr>
        <w:t>Eliminasyon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176A72" w:rsidRPr="00E75BE2" w:rsidRDefault="00176A72" w:rsidP="00176A72">
      <w:pPr>
        <w:shd w:val="clear" w:color="auto" w:fill="FFFFFF"/>
        <w:spacing w:before="43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5"/>
          <w:sz w:val="24"/>
          <w:szCs w:val="24"/>
        </w:rPr>
        <w:t>Oral yoldan uygulanan nistatinin büyük kısmı değişmeden feçesle atılır.</w:t>
      </w:r>
    </w:p>
    <w:p w:rsidR="00176A72" w:rsidRPr="00E75BE2" w:rsidRDefault="00176A72" w:rsidP="00176A72">
      <w:pPr>
        <w:shd w:val="clear" w:color="auto" w:fill="FFFFFF"/>
        <w:tabs>
          <w:tab w:val="left" w:pos="720"/>
        </w:tabs>
        <w:spacing w:before="326"/>
        <w:ind w:left="1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5</w:t>
      </w:r>
      <w:proofErr w:type="gramStart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r w:rsidR="00A35280"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5"/>
          <w:sz w:val="24"/>
          <w:szCs w:val="24"/>
        </w:rPr>
        <w:t>3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7"/>
          <w:sz w:val="24"/>
          <w:szCs w:val="24"/>
        </w:rPr>
        <w:t>Klinik öncesi güvenlilik verileri</w:t>
      </w:r>
    </w:p>
    <w:p w:rsidR="00176A72" w:rsidRPr="00E75BE2" w:rsidRDefault="00176A72" w:rsidP="00176A72">
      <w:pPr>
        <w:shd w:val="clear" w:color="auto" w:fill="FFFFFF"/>
        <w:spacing w:before="163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i/>
          <w:iCs/>
          <w:spacing w:val="-2"/>
          <w:sz w:val="24"/>
          <w:szCs w:val="24"/>
        </w:rPr>
        <w:t>Karsinojenez, Mutajenez ve Fertilite Yetersizliği</w:t>
      </w:r>
    </w:p>
    <w:p w:rsidR="00176A72" w:rsidRPr="00E75BE2" w:rsidRDefault="00176A72" w:rsidP="00176A72">
      <w:pPr>
        <w:shd w:val="clear" w:color="auto" w:fill="FFFFFF"/>
        <w:spacing w:before="120" w:line="278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 xml:space="preserve">Nistatinin karsinojenik potansiyelini değerlendirmek için uzun süreli hayvan çalışması </w:t>
      </w:r>
      <w:r w:rsidRPr="00E75BE2">
        <w:rPr>
          <w:rFonts w:ascii="Times New Roman" w:hAnsi="Times New Roman" w:cs="Times New Roman"/>
          <w:spacing w:val="-2"/>
          <w:sz w:val="24"/>
          <w:szCs w:val="24"/>
        </w:rPr>
        <w:t xml:space="preserve">yapılmamıştır. Nistatinin mutajenisitesini ya da erkek veya dişi fertilitesi üzerindeki etkisini </w:t>
      </w:r>
      <w:r w:rsidRPr="00E75BE2">
        <w:rPr>
          <w:rFonts w:ascii="Times New Roman" w:hAnsi="Times New Roman" w:cs="Times New Roman"/>
          <w:sz w:val="24"/>
          <w:szCs w:val="24"/>
        </w:rPr>
        <w:t>belirlemek için hiç bir çalışma yapılmamıştır.</w:t>
      </w:r>
    </w:p>
    <w:p w:rsidR="00176A72" w:rsidRPr="00E75BE2" w:rsidRDefault="00176A72" w:rsidP="00176A72">
      <w:pPr>
        <w:shd w:val="clear" w:color="auto" w:fill="FFFFFF"/>
        <w:spacing w:before="182" w:line="39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z w:val="24"/>
          <w:szCs w:val="24"/>
        </w:rPr>
        <w:t>6.        FARMASÖTİK ÖZELLİKLER</w:t>
      </w:r>
    </w:p>
    <w:p w:rsidR="00176A72" w:rsidRPr="00E75BE2" w:rsidRDefault="00176A72" w:rsidP="00176A72">
      <w:pPr>
        <w:shd w:val="clear" w:color="auto" w:fill="FFFFFF"/>
        <w:tabs>
          <w:tab w:val="left" w:pos="720"/>
        </w:tabs>
        <w:spacing w:line="394" w:lineRule="exact"/>
        <w:ind w:left="1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t>6.1</w:t>
      </w:r>
      <w:r w:rsidRPr="00E75BE2">
        <w:rPr>
          <w:rFonts w:ascii="Times New Roman" w:hAnsi="Times New Roman" w:cs="Times New Roman"/>
          <w:b/>
          <w:spacing w:val="-2"/>
          <w:sz w:val="24"/>
          <w:szCs w:val="24"/>
        </w:rPr>
        <w:tab/>
        <w:t>Yardımcı maddelerin listesi</w:t>
      </w:r>
    </w:p>
    <w:p w:rsidR="00176A72" w:rsidRPr="00E75BE2" w:rsidRDefault="00176A72" w:rsidP="00176A72">
      <w:pPr>
        <w:shd w:val="clear" w:color="auto" w:fill="FFFFFF"/>
        <w:spacing w:line="39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Sinnamaldehit</w:t>
      </w:r>
    </w:p>
    <w:p w:rsidR="00176A72" w:rsidRPr="00E75BE2" w:rsidRDefault="00176A72" w:rsidP="00176A72">
      <w:pPr>
        <w:shd w:val="clear" w:color="auto" w:fill="FFFFFF"/>
        <w:spacing w:line="39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Kiraz esansı</w:t>
      </w:r>
    </w:p>
    <w:p w:rsidR="00176A72" w:rsidRPr="00E75BE2" w:rsidRDefault="00176A72" w:rsidP="00176A72">
      <w:pPr>
        <w:shd w:val="clear" w:color="auto" w:fill="FFFFFF"/>
        <w:spacing w:line="39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Gliserin</w:t>
      </w:r>
    </w:p>
    <w:p w:rsidR="00176A72" w:rsidRPr="00E75BE2" w:rsidRDefault="00176A72" w:rsidP="00176A72">
      <w:pPr>
        <w:shd w:val="clear" w:color="auto" w:fill="FFFFFF"/>
        <w:spacing w:line="39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Metilparaben</w:t>
      </w:r>
    </w:p>
    <w:p w:rsidR="00176A72" w:rsidRPr="00E75BE2" w:rsidRDefault="00176A72" w:rsidP="00176A72">
      <w:pPr>
        <w:shd w:val="clear" w:color="auto" w:fill="FFFFFF"/>
        <w:spacing w:before="5" w:line="39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Nane yağı</w:t>
      </w:r>
    </w:p>
    <w:p w:rsidR="00176A72" w:rsidRPr="00E75BE2" w:rsidRDefault="00176A72" w:rsidP="00176A72">
      <w:pPr>
        <w:shd w:val="clear" w:color="auto" w:fill="FFFFFF"/>
        <w:spacing w:line="39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3"/>
          <w:sz w:val="24"/>
          <w:szCs w:val="24"/>
        </w:rPr>
        <w:t>Propilparaben</w:t>
      </w:r>
    </w:p>
    <w:p w:rsidR="00176A72" w:rsidRPr="00E75BE2" w:rsidRDefault="00176A72" w:rsidP="00176A72">
      <w:pPr>
        <w:shd w:val="clear" w:color="auto" w:fill="FFFFFF"/>
        <w:spacing w:line="39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Sukroz</w:t>
      </w:r>
    </w:p>
    <w:p w:rsidR="00176A72" w:rsidRPr="00E75BE2" w:rsidRDefault="00176A72" w:rsidP="00176A72">
      <w:pPr>
        <w:shd w:val="clear" w:color="auto" w:fill="FFFFFF"/>
        <w:spacing w:line="39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2"/>
          <w:sz w:val="24"/>
          <w:szCs w:val="24"/>
        </w:rPr>
        <w:t>Karboksimetil selüloz sodyum</w:t>
      </w:r>
    </w:p>
    <w:p w:rsidR="00176A72" w:rsidRPr="00E75BE2" w:rsidRDefault="00176A72" w:rsidP="00176A72">
      <w:pPr>
        <w:shd w:val="clear" w:color="auto" w:fill="FFFFFF"/>
        <w:spacing w:line="394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Sodyum fosfat dibazik susuz</w:t>
      </w:r>
    </w:p>
    <w:p w:rsidR="00176A72" w:rsidRPr="00E75BE2" w:rsidRDefault="00176A72" w:rsidP="00176A72">
      <w:pPr>
        <w:shd w:val="clear" w:color="auto" w:fill="FFFFFF"/>
        <w:spacing w:line="39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5"/>
          <w:sz w:val="24"/>
          <w:szCs w:val="24"/>
        </w:rPr>
        <w:lastRenderedPageBreak/>
        <w:t>Etanol %96</w:t>
      </w:r>
    </w:p>
    <w:p w:rsidR="00176A72" w:rsidRPr="00E75BE2" w:rsidRDefault="00176A72" w:rsidP="00176A72">
      <w:pPr>
        <w:shd w:val="clear" w:color="auto" w:fill="FFFFFF"/>
        <w:spacing w:line="39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>Purifiye su</w:t>
      </w:r>
    </w:p>
    <w:p w:rsidR="00176A72" w:rsidRPr="00E75BE2" w:rsidRDefault="00176A72" w:rsidP="00176A72">
      <w:pPr>
        <w:shd w:val="clear" w:color="auto" w:fill="FFFFFF"/>
        <w:tabs>
          <w:tab w:val="left" w:pos="384"/>
        </w:tabs>
        <w:spacing w:before="288"/>
        <w:ind w:left="29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7"/>
          <w:sz w:val="24"/>
          <w:szCs w:val="24"/>
        </w:rPr>
        <w:t>6</w:t>
      </w: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>.2</w:t>
      </w: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ab/>
        <w:t>Geçimsizlikler</w:t>
      </w:r>
    </w:p>
    <w:p w:rsidR="00176A72" w:rsidRPr="00E75BE2" w:rsidRDefault="00176A72" w:rsidP="00176A72">
      <w:pPr>
        <w:shd w:val="clear" w:color="auto" w:fill="FFFFFF"/>
        <w:spacing w:before="178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>Geçerli değildir.</w:t>
      </w:r>
    </w:p>
    <w:p w:rsidR="00176A72" w:rsidRPr="00E75BE2" w:rsidRDefault="00176A72" w:rsidP="00176A72">
      <w:pPr>
        <w:shd w:val="clear" w:color="auto" w:fill="FFFFFF"/>
        <w:tabs>
          <w:tab w:val="left" w:pos="384"/>
        </w:tabs>
        <w:spacing w:before="470"/>
        <w:ind w:left="29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>6.3</w:t>
      </w: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ab/>
        <w:t>Raf ömrü</w:t>
      </w:r>
    </w:p>
    <w:p w:rsidR="00A35280" w:rsidRPr="00E75BE2" w:rsidRDefault="00176A72" w:rsidP="00E75BE2">
      <w:pPr>
        <w:shd w:val="clear" w:color="auto" w:fill="FFFFFF"/>
        <w:spacing w:before="178"/>
        <w:ind w:left="29"/>
        <w:rPr>
          <w:rFonts w:ascii="Times New Roman" w:hAnsi="Times New Roman" w:cs="Times New Roman"/>
          <w:spacing w:val="-1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>24 ay</w:t>
      </w:r>
    </w:p>
    <w:p w:rsidR="00176A72" w:rsidRPr="00E75BE2" w:rsidRDefault="00176A72" w:rsidP="00176A72">
      <w:pPr>
        <w:shd w:val="clear" w:color="auto" w:fill="FFFFFF"/>
        <w:tabs>
          <w:tab w:val="left" w:pos="384"/>
        </w:tabs>
        <w:spacing w:before="470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>6.4</w:t>
      </w:r>
      <w:r w:rsidRPr="00E75BE2">
        <w:rPr>
          <w:rFonts w:ascii="Times New Roman" w:hAnsi="Times New Roman" w:cs="Times New Roman"/>
          <w:b/>
          <w:spacing w:val="-4"/>
          <w:sz w:val="24"/>
          <w:szCs w:val="24"/>
        </w:rPr>
        <w:tab/>
        <w:t>Saklamaya yönelik özel tedbirler</w:t>
      </w:r>
    </w:p>
    <w:p w:rsidR="00176A72" w:rsidRPr="00E75BE2" w:rsidRDefault="00176A72" w:rsidP="00176A72">
      <w:pPr>
        <w:shd w:val="clear" w:color="auto" w:fill="FFFFFF"/>
        <w:spacing w:before="178"/>
        <w:ind w:left="53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pacing w:val="-4"/>
          <w:sz w:val="24"/>
          <w:szCs w:val="24"/>
        </w:rPr>
        <w:t>15</w:t>
      </w:r>
      <w:r w:rsidR="000C1CE9" w:rsidRPr="00E75BE2">
        <w:rPr>
          <w:rFonts w:ascii="Times New Roman" w:hAnsi="Times New Roman" w:cs="Times New Roman"/>
          <w:spacing w:val="-4"/>
          <w:sz w:val="24"/>
          <w:szCs w:val="24"/>
        </w:rPr>
        <w:t>-30°C arasında oda sıcaklığında</w:t>
      </w:r>
      <w:r w:rsidRPr="00E75BE2">
        <w:rPr>
          <w:rFonts w:ascii="Times New Roman" w:hAnsi="Times New Roman" w:cs="Times New Roman"/>
          <w:spacing w:val="-4"/>
          <w:sz w:val="24"/>
          <w:szCs w:val="24"/>
        </w:rPr>
        <w:t xml:space="preserve"> saklayınız.</w:t>
      </w:r>
    </w:p>
    <w:p w:rsidR="00176A72" w:rsidRPr="00E75BE2" w:rsidRDefault="00176A72" w:rsidP="00176A72">
      <w:pPr>
        <w:shd w:val="clear" w:color="auto" w:fill="FFFFFF"/>
        <w:tabs>
          <w:tab w:val="left" w:pos="384"/>
        </w:tabs>
        <w:spacing w:before="326"/>
        <w:ind w:left="29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6</w:t>
      </w:r>
      <w:proofErr w:type="gramStart"/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.</w:t>
      </w:r>
      <w:r w:rsidR="0006605A"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.</w:t>
      </w:r>
      <w:proofErr w:type="gramEnd"/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5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5BE2">
        <w:rPr>
          <w:rFonts w:ascii="Times New Roman" w:hAnsi="Times New Roman" w:cs="Times New Roman"/>
          <w:b/>
          <w:bCs/>
          <w:spacing w:val="-7"/>
          <w:sz w:val="24"/>
          <w:szCs w:val="24"/>
        </w:rPr>
        <w:t>Ambalajın niteliği ve içeriği</w:t>
      </w:r>
    </w:p>
    <w:p w:rsidR="00176A72" w:rsidRPr="00E75BE2" w:rsidRDefault="00E11B5B" w:rsidP="00176A72">
      <w:pPr>
        <w:shd w:val="clear" w:color="auto" w:fill="FFFFFF"/>
        <w:spacing w:before="178"/>
        <w:ind w:left="34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Plastik kapak ile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BE2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kapatılmış</w:t>
      </w:r>
      <w:r w:rsidRPr="00E75B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6A72" w:rsidRPr="00E75BE2">
        <w:rPr>
          <w:rFonts w:ascii="Times New Roman" w:hAnsi="Times New Roman" w:cs="Times New Roman"/>
          <w:spacing w:val="-3"/>
          <w:sz w:val="24"/>
          <w:szCs w:val="24"/>
        </w:rPr>
        <w:t>48 dozluk cam şişelerde, damlalıklı kapak ile birlikte.</w:t>
      </w:r>
    </w:p>
    <w:p w:rsidR="00176A72" w:rsidRPr="00E75BE2" w:rsidRDefault="00176A72" w:rsidP="00176A72">
      <w:pPr>
        <w:shd w:val="clear" w:color="auto" w:fill="FFFFFF"/>
        <w:ind w:left="10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ind w:left="1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1"/>
          <w:sz w:val="24"/>
          <w:szCs w:val="24"/>
        </w:rPr>
        <w:t>6.6 Beşeri tıbbi üründen arta kalan maddelerin imhası ve diğer özel önlemler</w:t>
      </w:r>
    </w:p>
    <w:p w:rsidR="00176A72" w:rsidRPr="00E75BE2" w:rsidRDefault="00176A72" w:rsidP="00176A72">
      <w:pPr>
        <w:shd w:val="clear" w:color="auto" w:fill="FFFFFF"/>
        <w:spacing w:before="134" w:line="278" w:lineRule="exact"/>
        <w:ind w:left="5"/>
        <w:rPr>
          <w:rFonts w:ascii="Times New Roman" w:hAnsi="Times New Roman" w:cs="Times New Roman"/>
          <w:spacing w:val="-1"/>
          <w:sz w:val="24"/>
          <w:szCs w:val="24"/>
        </w:rPr>
      </w:pPr>
      <w:r w:rsidRPr="00E75BE2">
        <w:rPr>
          <w:rFonts w:ascii="Times New Roman" w:hAnsi="Times New Roman" w:cs="Times New Roman"/>
          <w:spacing w:val="-1"/>
          <w:sz w:val="24"/>
          <w:szCs w:val="24"/>
        </w:rPr>
        <w:t>Kullanılmamış olan ürünler ya da atık materyaller "Tıbbi Atıkların Kontrolü Yönetmeliği" ve "Ambalaj ve Ambalaj Atıkları Kontrolü Yönetmeliği"ne uygun olarak imha edilmelidir.</w:t>
      </w:r>
    </w:p>
    <w:p w:rsidR="00176A72" w:rsidRPr="00E75BE2" w:rsidRDefault="00176A72" w:rsidP="00176A72">
      <w:pPr>
        <w:shd w:val="clear" w:color="auto" w:fill="FFFFFF"/>
        <w:spacing w:before="134" w:line="278" w:lineRule="exact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tabs>
          <w:tab w:val="left" w:pos="710"/>
        </w:tabs>
        <w:spacing w:before="187"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7"/>
          <w:sz w:val="24"/>
          <w:szCs w:val="24"/>
        </w:rPr>
        <w:t>7.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RUHSAT SAHİBİ</w:t>
      </w:r>
    </w:p>
    <w:p w:rsidR="00176A72" w:rsidRPr="00E75BE2" w:rsidRDefault="00176A72" w:rsidP="00176A7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>Deva Holding A.Ş</w:t>
      </w:r>
    </w:p>
    <w:p w:rsidR="00176A72" w:rsidRPr="00E75BE2" w:rsidRDefault="00176A72" w:rsidP="00176A7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Halkalı Merkez Mah. Basın Ekspres Cad. </w:t>
      </w:r>
    </w:p>
    <w:p w:rsidR="00176A72" w:rsidRPr="00E75BE2" w:rsidRDefault="00A35280" w:rsidP="00176A7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>3430</w:t>
      </w:r>
      <w:r w:rsidR="00176A72"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>3 No:1 K. Çekmece/İstanbul</w:t>
      </w:r>
    </w:p>
    <w:p w:rsidR="00176A72" w:rsidRPr="00E75BE2" w:rsidRDefault="00176A72" w:rsidP="00176A7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>Tel: 0212 692 92 92</w:t>
      </w:r>
    </w:p>
    <w:p w:rsidR="00176A72" w:rsidRPr="00E75BE2" w:rsidRDefault="00176A72" w:rsidP="00176A7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75BE2">
        <w:rPr>
          <w:rFonts w:ascii="Times New Roman" w:eastAsia="Times New Roman" w:hAnsi="Times New Roman" w:cs="Times New Roman"/>
          <w:kern w:val="32"/>
          <w:sz w:val="24"/>
          <w:szCs w:val="24"/>
        </w:rPr>
        <w:t>Fax: 0212 697 00 24</w:t>
      </w:r>
    </w:p>
    <w:p w:rsidR="00176A72" w:rsidRPr="00E75BE2" w:rsidRDefault="00176A72" w:rsidP="00176A72">
      <w:pPr>
        <w:shd w:val="clear" w:color="auto" w:fill="FFFFFF"/>
        <w:tabs>
          <w:tab w:val="left" w:pos="710"/>
        </w:tabs>
        <w:spacing w:before="298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6"/>
          <w:sz w:val="24"/>
          <w:szCs w:val="24"/>
        </w:rPr>
        <w:t>8.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RUHSAT NUMARASI</w:t>
      </w:r>
    </w:p>
    <w:p w:rsidR="00176A72" w:rsidRPr="00E75BE2" w:rsidRDefault="00A35280" w:rsidP="00176A72">
      <w:pPr>
        <w:shd w:val="clear" w:color="auto" w:fill="FFFFFF"/>
        <w:tabs>
          <w:tab w:val="left" w:pos="710"/>
        </w:tabs>
        <w:spacing w:before="298"/>
        <w:ind w:left="5"/>
        <w:rPr>
          <w:rFonts w:ascii="Times New Roman" w:hAnsi="Times New Roman" w:cs="Times New Roman"/>
          <w:bCs/>
          <w:sz w:val="24"/>
          <w:szCs w:val="24"/>
        </w:rPr>
      </w:pPr>
      <w:r w:rsidRPr="00E75BE2">
        <w:rPr>
          <w:rFonts w:ascii="Times New Roman" w:hAnsi="Times New Roman" w:cs="Times New Roman"/>
          <w:bCs/>
          <w:sz w:val="24"/>
          <w:szCs w:val="24"/>
        </w:rPr>
        <w:t>228/97</w:t>
      </w:r>
    </w:p>
    <w:p w:rsidR="00176A72" w:rsidRPr="00E75BE2" w:rsidRDefault="00176A72" w:rsidP="00176A72">
      <w:pPr>
        <w:shd w:val="clear" w:color="auto" w:fill="FFFFFF"/>
        <w:tabs>
          <w:tab w:val="left" w:pos="710"/>
        </w:tabs>
        <w:spacing w:before="187" w:line="408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b/>
          <w:bCs/>
          <w:spacing w:val="-24"/>
          <w:sz w:val="24"/>
          <w:szCs w:val="24"/>
        </w:rPr>
        <w:t>9.</w:t>
      </w:r>
      <w:r w:rsidRPr="00E75BE2">
        <w:rPr>
          <w:rFonts w:ascii="Times New Roman" w:hAnsi="Times New Roman" w:cs="Times New Roman"/>
          <w:b/>
          <w:bCs/>
          <w:sz w:val="24"/>
          <w:szCs w:val="24"/>
        </w:rPr>
        <w:tab/>
        <w:t>İLK RUHSAT TARİHİ/RUHSAT YENİLEME TARİHİ</w:t>
      </w:r>
    </w:p>
    <w:p w:rsidR="00176A72" w:rsidRPr="00E75BE2" w:rsidRDefault="00A35280" w:rsidP="00176A72">
      <w:pPr>
        <w:shd w:val="clear" w:color="auto" w:fill="FFFFFF"/>
        <w:spacing w:line="408" w:lineRule="exact"/>
        <w:ind w:left="10" w:right="553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İlk Ruhsat Tarihi: 04.01.2011</w:t>
      </w:r>
    </w:p>
    <w:p w:rsidR="00A35280" w:rsidRPr="00E75BE2" w:rsidRDefault="00A35280" w:rsidP="00176A72">
      <w:pPr>
        <w:shd w:val="clear" w:color="auto" w:fill="FFFFFF"/>
        <w:spacing w:line="408" w:lineRule="exact"/>
        <w:ind w:left="10" w:right="5530"/>
        <w:rPr>
          <w:rFonts w:ascii="Times New Roman" w:hAnsi="Times New Roman" w:cs="Times New Roman"/>
          <w:sz w:val="24"/>
          <w:szCs w:val="24"/>
        </w:rPr>
      </w:pPr>
      <w:r w:rsidRPr="00E75BE2">
        <w:rPr>
          <w:rFonts w:ascii="Times New Roman" w:hAnsi="Times New Roman" w:cs="Times New Roman"/>
          <w:sz w:val="24"/>
          <w:szCs w:val="24"/>
        </w:rPr>
        <w:t>Ruhsat Yenileme Tarihi: --</w:t>
      </w:r>
    </w:p>
    <w:p w:rsidR="00176A72" w:rsidRPr="00E75BE2" w:rsidRDefault="00176A72" w:rsidP="00176A72">
      <w:pPr>
        <w:shd w:val="clear" w:color="auto" w:fill="FFFFFF"/>
        <w:spacing w:before="178"/>
        <w:ind w:left="34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75BE2">
        <w:rPr>
          <w:rFonts w:ascii="Times New Roman" w:hAnsi="Times New Roman" w:cs="Times New Roman"/>
          <w:b/>
          <w:spacing w:val="-7"/>
          <w:sz w:val="24"/>
          <w:szCs w:val="24"/>
        </w:rPr>
        <w:t>10.</w:t>
      </w:r>
      <w:r w:rsidRPr="00E75BE2">
        <w:rPr>
          <w:rFonts w:ascii="Times New Roman" w:hAnsi="Times New Roman" w:cs="Times New Roman"/>
          <w:b/>
          <w:spacing w:val="-7"/>
          <w:sz w:val="24"/>
          <w:szCs w:val="24"/>
        </w:rPr>
        <w:tab/>
        <w:t>KÜB'ÜN YENİLENME TARİHİ</w:t>
      </w:r>
    </w:p>
    <w:p w:rsidR="00176A72" w:rsidRPr="00E75BE2" w:rsidRDefault="00176A72" w:rsidP="00176A72">
      <w:pPr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E75BE2">
      <w:p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ind w:left="34"/>
        <w:rPr>
          <w:rFonts w:ascii="Times New Roman" w:hAnsi="Times New Roman" w:cs="Times New Roman"/>
          <w:sz w:val="24"/>
          <w:szCs w:val="24"/>
        </w:rPr>
      </w:pPr>
    </w:p>
    <w:p w:rsidR="00176A72" w:rsidRPr="00E75BE2" w:rsidRDefault="00176A72" w:rsidP="00176A72">
      <w:pPr>
        <w:shd w:val="clear" w:color="auto" w:fill="FFFFFF"/>
        <w:spacing w:before="24"/>
        <w:rPr>
          <w:rFonts w:ascii="Times New Roman" w:hAnsi="Times New Roman" w:cs="Times New Roman"/>
          <w:sz w:val="24"/>
          <w:szCs w:val="24"/>
        </w:rPr>
      </w:pPr>
    </w:p>
    <w:sectPr w:rsidR="00176A72" w:rsidRPr="00E75BE2" w:rsidSect="00176A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80" w:rsidRDefault="008A6080" w:rsidP="001128E4">
      <w:r>
        <w:separator/>
      </w:r>
    </w:p>
  </w:endnote>
  <w:endnote w:type="continuationSeparator" w:id="0">
    <w:p w:rsidR="008A6080" w:rsidRDefault="008A6080" w:rsidP="0011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5A" w:rsidRDefault="0006605A" w:rsidP="001128E4">
    <w:pPr>
      <w:pStyle w:val="Altbilgi"/>
      <w:pBdr>
        <w:top w:val="single" w:sz="4" w:space="1" w:color="auto"/>
      </w:pBdr>
      <w:jc w:val="right"/>
    </w:pPr>
    <w:r w:rsidRPr="006247DB">
      <w:rPr>
        <w:rFonts w:ascii="Times New Roman" w:hAnsi="Times New Roman"/>
        <w:sz w:val="24"/>
        <w:szCs w:val="24"/>
      </w:rPr>
      <w:t xml:space="preserve">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     Sayfa</w:t>
    </w:r>
    <w:r w:rsidRPr="006247DB">
      <w:rPr>
        <w:rFonts w:ascii="Times New Roman" w:hAnsi="Times New Roman"/>
        <w:sz w:val="24"/>
        <w:szCs w:val="24"/>
      </w:rPr>
      <w:t xml:space="preserve"> </w:t>
    </w:r>
    <w:r w:rsidR="004E4617" w:rsidRPr="006247DB">
      <w:rPr>
        <w:rStyle w:val="SayfaNumaras"/>
        <w:rFonts w:ascii="Times New Roman" w:hAnsi="Times New Roman"/>
        <w:sz w:val="24"/>
        <w:szCs w:val="24"/>
      </w:rPr>
      <w:fldChar w:fldCharType="begin"/>
    </w:r>
    <w:r w:rsidRPr="006247DB">
      <w:rPr>
        <w:rStyle w:val="SayfaNumaras"/>
        <w:rFonts w:ascii="Times New Roman" w:hAnsi="Times New Roman"/>
        <w:sz w:val="24"/>
        <w:szCs w:val="24"/>
      </w:rPr>
      <w:instrText xml:space="preserve"> PAGE </w:instrText>
    </w:r>
    <w:r w:rsidR="004E4617" w:rsidRPr="006247DB">
      <w:rPr>
        <w:rStyle w:val="SayfaNumaras"/>
        <w:rFonts w:ascii="Times New Roman" w:hAnsi="Times New Roman"/>
        <w:sz w:val="24"/>
        <w:szCs w:val="24"/>
      </w:rPr>
      <w:fldChar w:fldCharType="separate"/>
    </w:r>
    <w:r w:rsidR="00607EAA">
      <w:rPr>
        <w:rStyle w:val="SayfaNumaras"/>
        <w:rFonts w:ascii="Times New Roman" w:hAnsi="Times New Roman"/>
        <w:noProof/>
        <w:sz w:val="24"/>
        <w:szCs w:val="24"/>
      </w:rPr>
      <w:t>3</w:t>
    </w:r>
    <w:r w:rsidR="004E4617" w:rsidRPr="006247DB">
      <w:rPr>
        <w:rStyle w:val="SayfaNumaras"/>
        <w:rFonts w:ascii="Times New Roman" w:hAnsi="Times New Roman"/>
        <w:sz w:val="24"/>
        <w:szCs w:val="24"/>
      </w:rPr>
      <w:fldChar w:fldCharType="end"/>
    </w:r>
    <w:r>
      <w:rPr>
        <w:rStyle w:val="SayfaNumaras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/ 5</w:t>
    </w:r>
  </w:p>
  <w:p w:rsidR="0006605A" w:rsidRDefault="0006605A">
    <w:pPr>
      <w:pStyle w:val="Altbilgi"/>
    </w:pPr>
  </w:p>
  <w:p w:rsidR="0006605A" w:rsidRDefault="000660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80" w:rsidRDefault="008A6080" w:rsidP="001128E4">
      <w:r>
        <w:separator/>
      </w:r>
    </w:p>
  </w:footnote>
  <w:footnote w:type="continuationSeparator" w:id="0">
    <w:p w:rsidR="008A6080" w:rsidRDefault="008A6080" w:rsidP="00112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72"/>
    <w:rsid w:val="000147E7"/>
    <w:rsid w:val="0006605A"/>
    <w:rsid w:val="000C1CE9"/>
    <w:rsid w:val="001128E4"/>
    <w:rsid w:val="001464FA"/>
    <w:rsid w:val="00176A72"/>
    <w:rsid w:val="002429A6"/>
    <w:rsid w:val="00286E6A"/>
    <w:rsid w:val="003A6A86"/>
    <w:rsid w:val="003E6B44"/>
    <w:rsid w:val="00402A82"/>
    <w:rsid w:val="00427947"/>
    <w:rsid w:val="00453528"/>
    <w:rsid w:val="004C50BC"/>
    <w:rsid w:val="004E4617"/>
    <w:rsid w:val="005062EC"/>
    <w:rsid w:val="005B43C6"/>
    <w:rsid w:val="00607EAA"/>
    <w:rsid w:val="00614376"/>
    <w:rsid w:val="0065571F"/>
    <w:rsid w:val="00655C02"/>
    <w:rsid w:val="007D3FCD"/>
    <w:rsid w:val="007E5BE9"/>
    <w:rsid w:val="00893097"/>
    <w:rsid w:val="008A6080"/>
    <w:rsid w:val="008E16BC"/>
    <w:rsid w:val="00902E1F"/>
    <w:rsid w:val="00A10AF0"/>
    <w:rsid w:val="00A35280"/>
    <w:rsid w:val="00A70B0B"/>
    <w:rsid w:val="00A8750D"/>
    <w:rsid w:val="00AC3E1C"/>
    <w:rsid w:val="00AF7737"/>
    <w:rsid w:val="00B02164"/>
    <w:rsid w:val="00B30484"/>
    <w:rsid w:val="00C41122"/>
    <w:rsid w:val="00C77288"/>
    <w:rsid w:val="00D0081C"/>
    <w:rsid w:val="00DA1D98"/>
    <w:rsid w:val="00E11B5B"/>
    <w:rsid w:val="00E14D48"/>
    <w:rsid w:val="00E75BE2"/>
    <w:rsid w:val="00EE79BF"/>
    <w:rsid w:val="00F46888"/>
    <w:rsid w:val="00F80A8F"/>
    <w:rsid w:val="00FA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7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128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28E4"/>
    <w:rPr>
      <w:rFonts w:ascii="Verdana" w:eastAsiaTheme="minorEastAsia" w:hAnsi="Verdana" w:cs="Verdana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28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28E4"/>
    <w:rPr>
      <w:rFonts w:ascii="Verdana" w:eastAsiaTheme="minorEastAsia" w:hAnsi="Verdana" w:cs="Verdana"/>
      <w:sz w:val="20"/>
      <w:szCs w:val="20"/>
      <w:lang w:eastAsia="tr-TR"/>
    </w:rPr>
  </w:style>
  <w:style w:type="character" w:styleId="SayfaNumaras">
    <w:name w:val="page number"/>
    <w:basedOn w:val="VarsaylanParagrafYazTipi"/>
    <w:rsid w:val="001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Deva Holding A.S.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fguler</dc:creator>
  <cp:keywords/>
  <dc:description/>
  <cp:lastModifiedBy>esecgel</cp:lastModifiedBy>
  <cp:revision>4</cp:revision>
  <dcterms:created xsi:type="dcterms:W3CDTF">2014-07-02T13:45:00Z</dcterms:created>
  <dcterms:modified xsi:type="dcterms:W3CDTF">2015-02-04T09:33:00Z</dcterms:modified>
</cp:coreProperties>
</file>