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11" w:rsidRPr="006E16EB" w:rsidRDefault="00101A27" w:rsidP="00FA660C">
      <w:pPr>
        <w:shd w:val="clear" w:color="auto" w:fill="FFFFFF"/>
        <w:spacing w:after="0" w:line="360" w:lineRule="auto"/>
        <w:ind w:left="-284" w:right="-31"/>
        <w:jc w:val="center"/>
        <w:rPr>
          <w:rFonts w:ascii="Times New Roman" w:hAnsi="Times New Roman" w:cs="Times New Roman"/>
          <w:b/>
          <w:color w:val="000000" w:themeColor="text1"/>
          <w:sz w:val="24"/>
          <w:szCs w:val="24"/>
        </w:rPr>
      </w:pPr>
      <w:r w:rsidRPr="006E16EB">
        <w:rPr>
          <w:rFonts w:ascii="Times New Roman" w:hAnsi="Times New Roman" w:cs="Times New Roman"/>
          <w:b/>
          <w:color w:val="000000" w:themeColor="text1"/>
          <w:sz w:val="24"/>
          <w:szCs w:val="24"/>
        </w:rPr>
        <w:t>KISA ÜRÜN BİLGİSİ</w:t>
      </w:r>
    </w:p>
    <w:p w:rsidR="006828CA" w:rsidRPr="006E16EB" w:rsidRDefault="006828CA" w:rsidP="00FA660C">
      <w:pPr>
        <w:shd w:val="clear" w:color="auto" w:fill="FFFFFF"/>
        <w:spacing w:after="0" w:line="360" w:lineRule="auto"/>
        <w:ind w:left="-284" w:right="-31"/>
        <w:jc w:val="center"/>
        <w:rPr>
          <w:rFonts w:ascii="Times New Roman" w:hAnsi="Times New Roman" w:cs="Times New Roman"/>
          <w:b/>
          <w:color w:val="000000" w:themeColor="text1"/>
          <w:sz w:val="24"/>
          <w:szCs w:val="24"/>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themeColor="text1"/>
          <w:sz w:val="24"/>
          <w:szCs w:val="24"/>
        </w:rPr>
      </w:pPr>
      <w:r w:rsidRPr="006E16EB">
        <w:rPr>
          <w:rFonts w:ascii="Times New Roman" w:hAnsi="Times New Roman" w:cs="Times New Roman"/>
          <w:b/>
          <w:color w:val="000000" w:themeColor="text1"/>
          <w:sz w:val="24"/>
          <w:szCs w:val="24"/>
        </w:rPr>
        <w:t>1.</w:t>
      </w:r>
      <w:r w:rsidR="00101A27" w:rsidRPr="006E16EB">
        <w:rPr>
          <w:rFonts w:ascii="Times New Roman" w:hAnsi="Times New Roman" w:cs="Times New Roman"/>
          <w:b/>
          <w:color w:val="000000" w:themeColor="text1"/>
          <w:sz w:val="24"/>
          <w:szCs w:val="24"/>
        </w:rPr>
        <w:t>BEŞERİ TIBBİ ÜRÜNÜN ADI</w:t>
      </w:r>
    </w:p>
    <w:p w:rsidR="00101A27" w:rsidRPr="006E16EB" w:rsidRDefault="00101A2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CF2330">
        <w:rPr>
          <w:rFonts w:ascii="Times New Roman" w:hAnsi="Times New Roman" w:cs="Times New Roman"/>
          <w:color w:val="000000" w:themeColor="text1"/>
          <w:sz w:val="24"/>
          <w:szCs w:val="24"/>
        </w:rPr>
        <w:t>PANDEV</w:t>
      </w:r>
      <w:r w:rsidR="00821478" w:rsidRPr="00CF2330">
        <w:rPr>
          <w:rFonts w:ascii="Times New Roman" w:hAnsi="Times New Roman" w:cs="Times New Roman"/>
          <w:color w:val="000000" w:themeColor="text1"/>
          <w:sz w:val="24"/>
          <w:szCs w:val="24"/>
          <w:vertAlign w:val="superscript"/>
        </w:rPr>
        <w:t>®</w:t>
      </w:r>
      <w:r w:rsidR="00D56E64" w:rsidRPr="00CF2330">
        <w:rPr>
          <w:rFonts w:ascii="Times New Roman" w:hAnsi="Times New Roman" w:cs="Times New Roman"/>
          <w:color w:val="000000" w:themeColor="text1"/>
          <w:sz w:val="24"/>
          <w:szCs w:val="24"/>
        </w:rPr>
        <w:t xml:space="preserve"> 40 mg enterik kaplı</w:t>
      </w:r>
      <w:r w:rsidR="00D56E64" w:rsidRPr="006E16EB">
        <w:rPr>
          <w:rFonts w:ascii="Times New Roman" w:hAnsi="Times New Roman" w:cs="Times New Roman"/>
          <w:color w:val="000000" w:themeColor="text1"/>
          <w:sz w:val="24"/>
          <w:szCs w:val="24"/>
        </w:rPr>
        <w:t xml:space="preserve"> t</w:t>
      </w:r>
      <w:r w:rsidRPr="006E16EB">
        <w:rPr>
          <w:rFonts w:ascii="Times New Roman" w:hAnsi="Times New Roman" w:cs="Times New Roman"/>
          <w:color w:val="000000" w:themeColor="text1"/>
          <w:sz w:val="24"/>
          <w:szCs w:val="24"/>
        </w:rPr>
        <w:t>ablet</w:t>
      </w:r>
    </w:p>
    <w:p w:rsidR="006828CA" w:rsidRPr="006E16EB" w:rsidRDefault="006828CA" w:rsidP="00543D47">
      <w:pPr>
        <w:shd w:val="clear" w:color="auto" w:fill="FFFFFF"/>
        <w:spacing w:after="0" w:line="240" w:lineRule="auto"/>
        <w:ind w:right="-28"/>
        <w:jc w:val="both"/>
        <w:rPr>
          <w:rFonts w:ascii="Times New Roman" w:hAnsi="Times New Roman" w:cs="Times New Roman"/>
          <w:color w:val="000000" w:themeColor="text1"/>
          <w:sz w:val="24"/>
          <w:szCs w:val="24"/>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2.</w:t>
      </w:r>
      <w:r w:rsidR="00101A27" w:rsidRPr="006E16EB">
        <w:rPr>
          <w:rFonts w:ascii="Times New Roman" w:hAnsi="Times New Roman" w:cs="Times New Roman"/>
          <w:b/>
          <w:color w:val="000000"/>
          <w:sz w:val="24"/>
          <w:szCs w:val="24"/>
        </w:rPr>
        <w:t>KALİTATİF VE KANTİTATİF BİLEŞİM</w:t>
      </w:r>
    </w:p>
    <w:p w:rsidR="00885611" w:rsidRPr="006E16EB" w:rsidRDefault="00885611" w:rsidP="00FA660C">
      <w:pPr>
        <w:pStyle w:val="Default"/>
        <w:tabs>
          <w:tab w:val="left" w:pos="142"/>
        </w:tabs>
        <w:spacing w:line="360" w:lineRule="auto"/>
        <w:ind w:right="3985"/>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Etkin madde: </w:t>
      </w:r>
    </w:p>
    <w:p w:rsidR="00885611" w:rsidRPr="006E16EB" w:rsidRDefault="00885611" w:rsidP="00FA660C">
      <w:pPr>
        <w:pStyle w:val="CM20"/>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w:t>
      </w:r>
      <w:r w:rsidR="006E16EB" w:rsidRPr="006E16EB">
        <w:rPr>
          <w:rFonts w:ascii="Times New Roman" w:hAnsi="Times New Roman" w:cs="Times New Roman"/>
          <w:color w:val="000000" w:themeColor="text1"/>
          <w:u w:val="dotted"/>
        </w:rPr>
        <w:tab/>
      </w:r>
      <w:r w:rsidR="006E16EB" w:rsidRPr="006E16EB">
        <w:rPr>
          <w:rFonts w:ascii="Times New Roman" w:hAnsi="Times New Roman" w:cs="Times New Roman"/>
          <w:color w:val="000000" w:themeColor="text1"/>
          <w:u w:val="dotted"/>
        </w:rPr>
        <w:tab/>
      </w:r>
      <w:r w:rsidR="006E16EB" w:rsidRPr="006E16EB">
        <w:rPr>
          <w:rFonts w:ascii="Times New Roman" w:hAnsi="Times New Roman" w:cs="Times New Roman"/>
          <w:color w:val="000000" w:themeColor="text1"/>
          <w:u w:val="dotted"/>
        </w:rPr>
        <w:tab/>
      </w:r>
      <w:r w:rsidR="006E16EB" w:rsidRPr="006E16EB">
        <w:rPr>
          <w:rFonts w:ascii="Times New Roman" w:hAnsi="Times New Roman" w:cs="Times New Roman"/>
          <w:color w:val="000000" w:themeColor="text1"/>
          <w:u w:val="dotted"/>
        </w:rPr>
        <w:tab/>
      </w:r>
      <w:r w:rsidRPr="006E16EB">
        <w:rPr>
          <w:rFonts w:ascii="Times New Roman" w:hAnsi="Times New Roman" w:cs="Times New Roman"/>
          <w:color w:val="000000" w:themeColor="text1"/>
        </w:rPr>
        <w:t xml:space="preserve">40 mg (sodyum seskihidrat olarak) </w:t>
      </w:r>
    </w:p>
    <w:p w:rsidR="00885611" w:rsidRPr="00622482" w:rsidRDefault="00885611" w:rsidP="00FA660C">
      <w:pPr>
        <w:pStyle w:val="CM20"/>
        <w:tabs>
          <w:tab w:val="left" w:pos="142"/>
        </w:tabs>
        <w:spacing w:line="360" w:lineRule="auto"/>
        <w:jc w:val="both"/>
        <w:rPr>
          <w:rFonts w:ascii="Times New Roman" w:hAnsi="Times New Roman" w:cs="Times New Roman"/>
          <w:color w:val="000000" w:themeColor="text1"/>
        </w:rPr>
      </w:pPr>
      <w:r w:rsidRPr="00622482">
        <w:rPr>
          <w:rFonts w:ascii="Times New Roman" w:hAnsi="Times New Roman" w:cs="Times New Roman"/>
          <w:b/>
          <w:bCs/>
          <w:color w:val="000000" w:themeColor="text1"/>
        </w:rPr>
        <w:t xml:space="preserve">Yardımcı maddeler: </w:t>
      </w:r>
    </w:p>
    <w:p w:rsidR="00101A27" w:rsidRPr="00622482" w:rsidRDefault="00885611" w:rsidP="00FA660C">
      <w:pPr>
        <w:pStyle w:val="CM19"/>
        <w:tabs>
          <w:tab w:val="left" w:pos="142"/>
        </w:tabs>
        <w:spacing w:line="360" w:lineRule="auto"/>
        <w:jc w:val="both"/>
        <w:rPr>
          <w:rFonts w:ascii="Times New Roman" w:hAnsi="Times New Roman" w:cs="Times New Roman"/>
          <w:color w:val="000000" w:themeColor="text1"/>
        </w:rPr>
      </w:pPr>
      <w:r w:rsidRPr="00622482">
        <w:rPr>
          <w:rFonts w:ascii="Times New Roman" w:hAnsi="Times New Roman" w:cs="Times New Roman"/>
          <w:color w:val="000000" w:themeColor="text1"/>
        </w:rPr>
        <w:t>Sodyum karbonat</w:t>
      </w:r>
      <w:r w:rsidR="00101A27" w:rsidRPr="00622482">
        <w:rPr>
          <w:rFonts w:ascii="Times New Roman" w:hAnsi="Times New Roman" w:cs="Times New Roman"/>
          <w:color w:val="000000" w:themeColor="text1"/>
        </w:rPr>
        <w:t xml:space="preserve"> anhidroz</w:t>
      </w:r>
      <w:r w:rsidRPr="00622482">
        <w:rPr>
          <w:rFonts w:ascii="Times New Roman" w:hAnsi="Times New Roman" w:cs="Times New Roman"/>
          <w:color w:val="000000" w:themeColor="text1"/>
        </w:rPr>
        <w:t xml:space="preserve"> </w:t>
      </w:r>
      <w:r w:rsidR="006E16EB" w:rsidRPr="00622482">
        <w:rPr>
          <w:rFonts w:ascii="Times New Roman" w:hAnsi="Times New Roman" w:cs="Times New Roman"/>
          <w:color w:val="000000" w:themeColor="text1"/>
          <w:u w:val="dotted"/>
        </w:rPr>
        <w:tab/>
      </w:r>
      <w:r w:rsidR="006E16EB" w:rsidRPr="00622482">
        <w:rPr>
          <w:rFonts w:ascii="Times New Roman" w:hAnsi="Times New Roman" w:cs="Times New Roman"/>
          <w:color w:val="000000" w:themeColor="text1"/>
          <w:u w:val="dotted"/>
        </w:rPr>
        <w:tab/>
      </w:r>
      <w:r w:rsidRPr="00622482">
        <w:rPr>
          <w:rFonts w:ascii="Times New Roman" w:hAnsi="Times New Roman" w:cs="Times New Roman"/>
          <w:color w:val="000000" w:themeColor="text1"/>
        </w:rPr>
        <w:t>10 mg</w:t>
      </w:r>
    </w:p>
    <w:p w:rsidR="00101A27" w:rsidRPr="006E16EB" w:rsidRDefault="00101A27" w:rsidP="00FA660C">
      <w:pPr>
        <w:pStyle w:val="CM19"/>
        <w:tabs>
          <w:tab w:val="left" w:pos="142"/>
        </w:tabs>
        <w:spacing w:line="360" w:lineRule="auto"/>
        <w:jc w:val="both"/>
        <w:rPr>
          <w:rFonts w:ascii="Times New Roman" w:hAnsi="Times New Roman" w:cs="Times New Roman"/>
          <w:color w:val="000000" w:themeColor="text1"/>
        </w:rPr>
      </w:pPr>
      <w:r w:rsidRPr="00622482">
        <w:rPr>
          <w:rFonts w:ascii="Times New Roman" w:hAnsi="Times New Roman" w:cs="Times New Roman"/>
          <w:color w:val="000000" w:themeColor="text1"/>
        </w:rPr>
        <w:t xml:space="preserve">Mannitol </w:t>
      </w:r>
      <w:r w:rsidR="006E16EB" w:rsidRPr="00622482">
        <w:rPr>
          <w:rFonts w:ascii="Times New Roman" w:hAnsi="Times New Roman" w:cs="Times New Roman"/>
          <w:color w:val="000000" w:themeColor="text1"/>
          <w:u w:val="dotted"/>
        </w:rPr>
        <w:tab/>
      </w:r>
      <w:r w:rsidR="006E16EB" w:rsidRPr="00622482">
        <w:rPr>
          <w:rFonts w:ascii="Times New Roman" w:hAnsi="Times New Roman" w:cs="Times New Roman"/>
          <w:color w:val="000000" w:themeColor="text1"/>
          <w:u w:val="dotted"/>
        </w:rPr>
        <w:tab/>
      </w:r>
      <w:r w:rsidR="006E16EB" w:rsidRPr="00622482">
        <w:rPr>
          <w:rFonts w:ascii="Times New Roman" w:hAnsi="Times New Roman" w:cs="Times New Roman"/>
          <w:color w:val="000000" w:themeColor="text1"/>
          <w:u w:val="dotted"/>
        </w:rPr>
        <w:tab/>
      </w:r>
      <w:r w:rsidR="006E16EB" w:rsidRPr="00622482">
        <w:rPr>
          <w:rFonts w:ascii="Times New Roman" w:hAnsi="Times New Roman" w:cs="Times New Roman"/>
          <w:color w:val="000000" w:themeColor="text1"/>
          <w:u w:val="dotted"/>
        </w:rPr>
        <w:tab/>
      </w:r>
      <w:r w:rsidRPr="00622482">
        <w:rPr>
          <w:rFonts w:ascii="Times New Roman" w:hAnsi="Times New Roman" w:cs="Times New Roman"/>
          <w:color w:val="000000" w:themeColor="text1"/>
        </w:rPr>
        <w:t>89.25</w:t>
      </w:r>
      <w:r w:rsidR="00885611" w:rsidRPr="00622482">
        <w:rPr>
          <w:rFonts w:ascii="Times New Roman" w:hAnsi="Times New Roman" w:cs="Times New Roman"/>
          <w:color w:val="000000" w:themeColor="text1"/>
        </w:rPr>
        <w:t xml:space="preserve"> mg</w:t>
      </w:r>
      <w:r w:rsidR="00885611" w:rsidRPr="006E16EB">
        <w:rPr>
          <w:rFonts w:ascii="Times New Roman" w:hAnsi="Times New Roman" w:cs="Times New Roman"/>
          <w:color w:val="000000" w:themeColor="text1"/>
        </w:rPr>
        <w:t xml:space="preserve"> </w:t>
      </w:r>
    </w:p>
    <w:p w:rsidR="006E16EB" w:rsidRPr="006E16EB" w:rsidRDefault="006E16EB"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Sodyum lauril sülfat</w:t>
      </w:r>
      <w:r w:rsidRPr="006E16EB">
        <w:rPr>
          <w:rFonts w:ascii="Times New Roman" w:hAnsi="Times New Roman" w:cs="Times New Roman"/>
          <w:color w:val="000000" w:themeColor="text1"/>
        </w:rPr>
        <w:tab/>
      </w:r>
      <w:r w:rsidRPr="006E16EB">
        <w:rPr>
          <w:rFonts w:ascii="Times New Roman" w:hAnsi="Times New Roman" w:cs="Times New Roman"/>
          <w:color w:val="000000" w:themeColor="text1"/>
          <w:u w:val="dotted"/>
        </w:rPr>
        <w:tab/>
      </w:r>
      <w:r w:rsidRPr="006E16EB">
        <w:rPr>
          <w:rFonts w:ascii="Times New Roman" w:hAnsi="Times New Roman" w:cs="Times New Roman"/>
          <w:color w:val="000000" w:themeColor="text1"/>
          <w:u w:val="dotted"/>
        </w:rPr>
        <w:tab/>
      </w:r>
      <w:r w:rsidRPr="006E16EB">
        <w:rPr>
          <w:rFonts w:ascii="Times New Roman" w:hAnsi="Times New Roman" w:cs="Times New Roman"/>
          <w:color w:val="000000" w:themeColor="text1"/>
        </w:rPr>
        <w:t xml:space="preserve">1.65 mg </w:t>
      </w:r>
    </w:p>
    <w:p w:rsidR="00885611" w:rsidRPr="006E16EB" w:rsidRDefault="00885611" w:rsidP="00FA660C">
      <w:pPr>
        <w:pStyle w:val="CM21"/>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Yardımcı maddelerin tam listesi için 6.1’e bakınız. </w:t>
      </w:r>
    </w:p>
    <w:p w:rsidR="00C95123" w:rsidRPr="006E16EB" w:rsidRDefault="00C95123" w:rsidP="00543D47">
      <w:pPr>
        <w:pStyle w:val="Default"/>
        <w:jc w:val="both"/>
        <w:rPr>
          <w:rFonts w:ascii="Times New Roman" w:hAnsi="Times New Roman" w:cs="Times New Roman"/>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3.</w:t>
      </w:r>
      <w:r w:rsidR="00101A27" w:rsidRPr="006E16EB">
        <w:rPr>
          <w:rFonts w:ascii="Times New Roman" w:hAnsi="Times New Roman" w:cs="Times New Roman"/>
          <w:b/>
          <w:color w:val="000000"/>
          <w:sz w:val="24"/>
          <w:szCs w:val="24"/>
        </w:rPr>
        <w:t>FARMASÖTİK FORM</w:t>
      </w:r>
    </w:p>
    <w:p w:rsidR="00101A27" w:rsidRPr="006E16EB" w:rsidRDefault="00101A27" w:rsidP="00FA660C">
      <w:pPr>
        <w:shd w:val="clear" w:color="auto" w:fill="FFFFFF"/>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Enterik kaplı tablet</w:t>
      </w:r>
    </w:p>
    <w:p w:rsidR="00101A27" w:rsidRPr="006E16EB" w:rsidRDefault="00101A27" w:rsidP="00FA660C">
      <w:pPr>
        <w:shd w:val="clear" w:color="auto" w:fill="FFFFFF"/>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Açık sarı film kaplı, homojen görünüşlü, oblong tabletler.</w:t>
      </w:r>
    </w:p>
    <w:p w:rsidR="006828CA" w:rsidRPr="006E16EB" w:rsidRDefault="006828CA" w:rsidP="00543D47">
      <w:pPr>
        <w:shd w:val="clear" w:color="auto" w:fill="FFFFFF"/>
        <w:spacing w:after="0" w:line="240" w:lineRule="auto"/>
        <w:ind w:right="-28"/>
        <w:jc w:val="both"/>
        <w:rPr>
          <w:rFonts w:ascii="Times New Roman" w:hAnsi="Times New Roman" w:cs="Times New Roman"/>
          <w:color w:val="000000"/>
          <w:sz w:val="24"/>
          <w:szCs w:val="24"/>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4.</w:t>
      </w:r>
      <w:r w:rsidR="00101A27" w:rsidRPr="006E16EB">
        <w:rPr>
          <w:rFonts w:ascii="Times New Roman" w:hAnsi="Times New Roman" w:cs="Times New Roman"/>
          <w:b/>
          <w:color w:val="000000"/>
          <w:sz w:val="24"/>
          <w:szCs w:val="24"/>
        </w:rPr>
        <w:t>KLİNİK ÖZELLİKLER</w:t>
      </w:r>
    </w:p>
    <w:p w:rsidR="008F33FE" w:rsidRPr="006E16EB" w:rsidRDefault="002B3EB8" w:rsidP="00FA660C">
      <w:pPr>
        <w:pStyle w:val="CM1"/>
        <w:tabs>
          <w:tab w:val="left" w:pos="142"/>
        </w:tabs>
        <w:spacing w:line="360" w:lineRule="auto"/>
        <w:jc w:val="both"/>
        <w:rPr>
          <w:rFonts w:ascii="Times New Roman" w:hAnsi="Times New Roman" w:cs="Times New Roman"/>
          <w:b/>
          <w:bCs/>
          <w:color w:val="000000" w:themeColor="text1"/>
        </w:rPr>
      </w:pPr>
      <w:r w:rsidRPr="006E16EB">
        <w:rPr>
          <w:rFonts w:ascii="Times New Roman" w:hAnsi="Times New Roman" w:cs="Times New Roman"/>
          <w:b/>
          <w:bCs/>
          <w:color w:val="000000" w:themeColor="text1"/>
        </w:rPr>
        <w:t xml:space="preserve">4.1 </w:t>
      </w:r>
      <w:r w:rsidR="00885611" w:rsidRPr="006E16EB">
        <w:rPr>
          <w:rFonts w:ascii="Times New Roman" w:hAnsi="Times New Roman" w:cs="Times New Roman"/>
          <w:b/>
          <w:bCs/>
          <w:color w:val="000000" w:themeColor="text1"/>
        </w:rPr>
        <w:t xml:space="preserve">Terapötik endikasyonlar </w:t>
      </w:r>
    </w:p>
    <w:p w:rsidR="00885611" w:rsidRPr="006E16EB" w:rsidRDefault="00885611" w:rsidP="00FA660C">
      <w:pPr>
        <w:pStyle w:val="CM22"/>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t>12 ya</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ın üzerindeki çocuklarda ve eri</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 xml:space="preserve">kinlerde: </w:t>
      </w:r>
    </w:p>
    <w:p w:rsidR="002B3EB8" w:rsidRPr="006E16EB" w:rsidRDefault="00885611" w:rsidP="006E16EB">
      <w:pPr>
        <w:pStyle w:val="CM19"/>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Gastroözofageal reflü hastalığının tedavisinde endikedir. </w:t>
      </w:r>
    </w:p>
    <w:p w:rsidR="00885611" w:rsidRPr="006E16EB" w:rsidRDefault="00885611" w:rsidP="00FA660C">
      <w:pPr>
        <w:pStyle w:val="CM3"/>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t>Eri</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 xml:space="preserve">kinlerde: </w:t>
      </w:r>
    </w:p>
    <w:p w:rsidR="00885611" w:rsidRPr="006E16EB" w:rsidRDefault="002B3EB8" w:rsidP="00FA660C">
      <w:pPr>
        <w:pStyle w:val="Default"/>
        <w:numPr>
          <w:ilvl w:val="0"/>
          <w:numId w:val="1"/>
        </w:numPr>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i/>
          <w:color w:val="000000" w:themeColor="text1"/>
        </w:rPr>
        <w:t>Helicobacter pylori</w:t>
      </w:r>
      <w:r w:rsidR="00885611" w:rsidRPr="006E16EB">
        <w:rPr>
          <w:rFonts w:ascii="Times New Roman" w:hAnsi="Times New Roman" w:cs="Times New Roman"/>
          <w:i/>
          <w:iCs/>
          <w:color w:val="000000" w:themeColor="text1"/>
        </w:rPr>
        <w:t xml:space="preserve"> </w:t>
      </w:r>
      <w:r w:rsidR="00885611" w:rsidRPr="006E16EB">
        <w:rPr>
          <w:rFonts w:ascii="Times New Roman" w:hAnsi="Times New Roman" w:cs="Times New Roman"/>
          <w:i/>
          <w:color w:val="000000" w:themeColor="text1"/>
        </w:rPr>
        <w:t>(</w:t>
      </w:r>
      <w:r w:rsidRPr="006E16EB">
        <w:rPr>
          <w:rFonts w:ascii="Times New Roman" w:hAnsi="Times New Roman" w:cs="Times New Roman"/>
          <w:i/>
          <w:iCs/>
          <w:color w:val="000000" w:themeColor="text1"/>
        </w:rPr>
        <w:t>H.pylori</w:t>
      </w:r>
      <w:r w:rsidR="00885611"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ile ilişkili</w:t>
      </w:r>
      <w:r w:rsidR="00885611" w:rsidRPr="006E16EB">
        <w:rPr>
          <w:rFonts w:ascii="Times New Roman" w:hAnsi="Times New Roman" w:cs="Times New Roman"/>
          <w:color w:val="000000" w:themeColor="text1"/>
        </w:rPr>
        <w:t xml:space="preserve"> duodenal ve gastrik ülserde bu mikroorganizmanın eradikasyonu için uygun iki antibiyotikle kombine olarak, </w:t>
      </w:r>
    </w:p>
    <w:p w:rsidR="002B3EB8" w:rsidRPr="006E16EB" w:rsidRDefault="00885611" w:rsidP="00FA660C">
      <w:pPr>
        <w:pStyle w:val="Default"/>
        <w:numPr>
          <w:ilvl w:val="0"/>
          <w:numId w:val="1"/>
        </w:numPr>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Peptik ülserde (duodenal ülser ve gastrik ülser), </w:t>
      </w:r>
    </w:p>
    <w:p w:rsidR="00C95123" w:rsidRPr="006E16EB" w:rsidRDefault="00885611" w:rsidP="00FA660C">
      <w:pPr>
        <w:pStyle w:val="Default"/>
        <w:numPr>
          <w:ilvl w:val="0"/>
          <w:numId w:val="1"/>
        </w:numPr>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Zollinger Ellison Sendromu ve diğer patolojik hipersekresyonlu durumlarda kullanılır.</w:t>
      </w:r>
    </w:p>
    <w:p w:rsidR="00885611" w:rsidRPr="006E16EB" w:rsidRDefault="00885611" w:rsidP="00543D47">
      <w:pPr>
        <w:pStyle w:val="Default"/>
        <w:tabs>
          <w:tab w:val="left" w:pos="142"/>
        </w:tabs>
        <w:jc w:val="both"/>
        <w:rPr>
          <w:rFonts w:ascii="Times New Roman" w:hAnsi="Times New Roman" w:cs="Times New Roman"/>
          <w:color w:val="000000" w:themeColor="text1"/>
        </w:rPr>
      </w:pPr>
    </w:p>
    <w:p w:rsidR="00885611" w:rsidRPr="006E16EB" w:rsidRDefault="00885611"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4.2 Pozoloji ve uygulama </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ekli </w:t>
      </w: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Pozoloji/uygulama sıklı</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ı ve süresi: </w:t>
      </w: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t>12 ya</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ın üzerindeki çocuklarda ve eri</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 xml:space="preserve">kinlerde: </w:t>
      </w: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Gastroözofageal reflü hastalığında </w:t>
      </w: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Önerilen doz günde 1 adet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40 mg’dır. Bazı durumlarda doz iki katına çıkarılabilir (günde 2 adet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40 mg). 4 haftalık tedavi sonunda iyileşmeyen hastalar için 4 haftalık ilave bir tedavi düşünülebilir. </w:t>
      </w:r>
    </w:p>
    <w:p w:rsidR="00543D47" w:rsidRDefault="00543D47" w:rsidP="00FA660C">
      <w:pPr>
        <w:pStyle w:val="Default"/>
        <w:spacing w:line="360" w:lineRule="auto"/>
        <w:jc w:val="both"/>
        <w:rPr>
          <w:rFonts w:ascii="Times New Roman" w:hAnsi="Times New Roman" w:cs="Times New Roman"/>
          <w:i/>
          <w:iCs/>
          <w:color w:val="000000" w:themeColor="text1"/>
        </w:rPr>
      </w:pP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lastRenderedPageBreak/>
        <w:t>Eri</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 xml:space="preserve">kinler: </w:t>
      </w:r>
    </w:p>
    <w:p w:rsidR="002B3EB8"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Uygun iki antibiyotikle kombine olarak </w:t>
      </w:r>
      <w:r w:rsidRPr="006E16EB">
        <w:rPr>
          <w:rFonts w:ascii="Times New Roman" w:hAnsi="Times New Roman" w:cs="Times New Roman"/>
          <w:i/>
          <w:iCs/>
          <w:color w:val="000000" w:themeColor="text1"/>
          <w:u w:val="single"/>
        </w:rPr>
        <w:t xml:space="preserve">H.Pylori </w:t>
      </w:r>
      <w:r w:rsidRPr="006E16EB">
        <w:rPr>
          <w:rFonts w:ascii="Times New Roman" w:hAnsi="Times New Roman" w:cs="Times New Roman"/>
          <w:color w:val="000000" w:themeColor="text1"/>
          <w:u w:val="single"/>
        </w:rPr>
        <w:t xml:space="preserve">eradikasyonunda </w:t>
      </w:r>
    </w:p>
    <w:p w:rsidR="00C95123" w:rsidRPr="006E16EB" w:rsidRDefault="002B3EB8" w:rsidP="00FA660C">
      <w:pPr>
        <w:pStyle w:val="Default"/>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i/>
          <w:iCs/>
          <w:color w:val="auto"/>
          <w:lang w:eastAsia="en-US"/>
        </w:rPr>
        <w:t xml:space="preserve">H. pylori </w:t>
      </w:r>
      <w:r w:rsidRPr="006E16EB">
        <w:rPr>
          <w:rFonts w:ascii="Times New Roman" w:eastAsiaTheme="minorHAnsi" w:hAnsi="Times New Roman" w:cs="Times New Roman"/>
          <w:color w:val="auto"/>
          <w:lang w:eastAsia="en-US"/>
        </w:rPr>
        <w:t xml:space="preserve">pozitif gastrik ve duodenal ülserli hastalarda, etkenin tamamen ortadan kaldırılması için kombine tedavi uygulanmalıdır. Direnç ve uygun antibiyotiklerin reçetelenmesi için varsa ulusal öneriler gibi resmi yerel rehberler göz önünde bulundurulmalıdır. </w:t>
      </w:r>
      <w:r w:rsidR="00C95123" w:rsidRPr="006E16EB">
        <w:rPr>
          <w:rFonts w:ascii="Times New Roman" w:hAnsi="Times New Roman" w:cs="Times New Roman"/>
          <w:color w:val="000000" w:themeColor="text1"/>
        </w:rPr>
        <w:t xml:space="preserve"> </w:t>
      </w:r>
      <w:r w:rsidR="00C95123" w:rsidRPr="006E16EB">
        <w:rPr>
          <w:rFonts w:ascii="Times New Roman" w:hAnsi="Times New Roman" w:cs="Times New Roman"/>
          <w:i/>
          <w:iCs/>
          <w:color w:val="000000" w:themeColor="text1"/>
        </w:rPr>
        <w:t xml:space="preserve">H. pylori </w:t>
      </w:r>
      <w:r w:rsidR="00C95123" w:rsidRPr="006E16EB">
        <w:rPr>
          <w:rFonts w:ascii="Times New Roman" w:hAnsi="Times New Roman" w:cs="Times New Roman"/>
          <w:color w:val="000000" w:themeColor="text1"/>
        </w:rPr>
        <w:t xml:space="preserve">eradikasyonu için direnç durumuna göre aşağıdaki kombinasyonlar önerilebilir: </w:t>
      </w: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a) Günde 2 defa 1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40 mg Enterik Kaplı Tablet </w:t>
      </w:r>
    </w:p>
    <w:p w:rsidR="00C95123" w:rsidRPr="006E16EB" w:rsidRDefault="00C95123" w:rsidP="00FA660C">
      <w:pPr>
        <w:pStyle w:val="Default"/>
        <w:numPr>
          <w:ilvl w:val="0"/>
          <w:numId w:val="2"/>
        </w:numPr>
        <w:tabs>
          <w:tab w:val="left" w:pos="284"/>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2 defa 1000 mg amoksisilin </w:t>
      </w:r>
    </w:p>
    <w:p w:rsidR="00C95123" w:rsidRPr="006E16EB" w:rsidRDefault="00C95123" w:rsidP="00543D47">
      <w:pPr>
        <w:pStyle w:val="Default"/>
        <w:numPr>
          <w:ilvl w:val="0"/>
          <w:numId w:val="2"/>
        </w:numPr>
        <w:tabs>
          <w:tab w:val="left" w:pos="284"/>
        </w:tabs>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2 defa 500 mg klaritromisin </w:t>
      </w:r>
    </w:p>
    <w:p w:rsidR="00141FF1" w:rsidRPr="006E16EB" w:rsidRDefault="00141FF1" w:rsidP="00543D47">
      <w:pPr>
        <w:pStyle w:val="Default"/>
        <w:tabs>
          <w:tab w:val="left" w:pos="284"/>
        </w:tabs>
        <w:jc w:val="both"/>
        <w:rPr>
          <w:rFonts w:ascii="Times New Roman" w:hAnsi="Times New Roman" w:cs="Times New Roman"/>
          <w:color w:val="000000" w:themeColor="text1"/>
        </w:rPr>
      </w:pPr>
    </w:p>
    <w:p w:rsidR="002B3EB8" w:rsidRPr="006E16EB" w:rsidRDefault="00C95123" w:rsidP="00FA660C">
      <w:pPr>
        <w:pStyle w:val="Default"/>
        <w:tabs>
          <w:tab w:val="left" w:pos="284"/>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 Günde 2 defa 1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40 mg Enterik Kaplı Tablet </w:t>
      </w:r>
    </w:p>
    <w:p w:rsidR="002B3EB8" w:rsidRPr="006E16EB" w:rsidRDefault="002B3EB8" w:rsidP="00FA660C">
      <w:pPr>
        <w:pStyle w:val="Default"/>
        <w:numPr>
          <w:ilvl w:val="0"/>
          <w:numId w:val="3"/>
        </w:numPr>
        <w:tabs>
          <w:tab w:val="left" w:pos="284"/>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2 defa 400-500 mg metronidazol </w:t>
      </w:r>
      <w:r w:rsidRPr="006E16EB">
        <w:rPr>
          <w:rFonts w:ascii="Times New Roman" w:eastAsiaTheme="minorHAnsi" w:hAnsi="Times New Roman" w:cs="Times New Roman"/>
          <w:color w:val="auto"/>
          <w:lang w:eastAsia="en-US"/>
        </w:rPr>
        <w:t>(veya 500 mg tinidazol)</w:t>
      </w:r>
    </w:p>
    <w:p w:rsidR="00C95123" w:rsidRPr="006E16EB" w:rsidRDefault="00C95123" w:rsidP="00543D47">
      <w:pPr>
        <w:pStyle w:val="Default"/>
        <w:numPr>
          <w:ilvl w:val="0"/>
          <w:numId w:val="3"/>
        </w:numPr>
        <w:tabs>
          <w:tab w:val="left" w:pos="284"/>
        </w:tabs>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2 defa 250-500 mg klaritromisin </w:t>
      </w:r>
    </w:p>
    <w:p w:rsidR="00C95123" w:rsidRPr="006E16EB" w:rsidRDefault="00C95123" w:rsidP="00543D47">
      <w:pPr>
        <w:pStyle w:val="Default"/>
        <w:tabs>
          <w:tab w:val="left" w:pos="284"/>
        </w:tabs>
        <w:jc w:val="both"/>
        <w:rPr>
          <w:rFonts w:ascii="Times New Roman" w:hAnsi="Times New Roman" w:cs="Times New Roman"/>
          <w:color w:val="000000" w:themeColor="text1"/>
        </w:rPr>
      </w:pPr>
    </w:p>
    <w:p w:rsidR="00C95123" w:rsidRPr="006E16EB" w:rsidRDefault="00C95123" w:rsidP="00FA660C">
      <w:pPr>
        <w:pStyle w:val="Default"/>
        <w:tabs>
          <w:tab w:val="left" w:pos="284"/>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c) Günde 2 defa 1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40 mg Enterik Kaplı Tablet </w:t>
      </w:r>
    </w:p>
    <w:p w:rsidR="00C95123" w:rsidRPr="006E16EB" w:rsidRDefault="00C95123" w:rsidP="00FA660C">
      <w:pPr>
        <w:pStyle w:val="Default"/>
        <w:numPr>
          <w:ilvl w:val="0"/>
          <w:numId w:val="4"/>
        </w:numPr>
        <w:tabs>
          <w:tab w:val="left" w:pos="284"/>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2 defa 1000 mg amoksisilin </w:t>
      </w:r>
    </w:p>
    <w:p w:rsidR="00C95123" w:rsidRPr="006E16EB" w:rsidRDefault="00C95123" w:rsidP="00543D47">
      <w:pPr>
        <w:pStyle w:val="Default"/>
        <w:numPr>
          <w:ilvl w:val="0"/>
          <w:numId w:val="3"/>
        </w:numPr>
        <w:tabs>
          <w:tab w:val="left" w:pos="284"/>
        </w:tabs>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2 defa 500 mg metronidazol </w:t>
      </w:r>
      <w:r w:rsidR="002B3EB8" w:rsidRPr="006E16EB">
        <w:rPr>
          <w:rFonts w:ascii="Times New Roman" w:eastAsiaTheme="minorHAnsi" w:hAnsi="Times New Roman" w:cs="Times New Roman"/>
          <w:color w:val="auto"/>
          <w:lang w:eastAsia="en-US"/>
        </w:rPr>
        <w:t>(veya 500 mg tinidazol)</w:t>
      </w:r>
    </w:p>
    <w:p w:rsidR="00C95123" w:rsidRPr="006E16EB" w:rsidRDefault="00C95123" w:rsidP="00543D47">
      <w:pPr>
        <w:pStyle w:val="Default"/>
        <w:jc w:val="both"/>
        <w:rPr>
          <w:rFonts w:ascii="Times New Roman" w:hAnsi="Times New Roman" w:cs="Times New Roman"/>
          <w:color w:val="000000" w:themeColor="text1"/>
        </w:rPr>
      </w:pP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t xml:space="preserve">H. pylori </w:t>
      </w:r>
      <w:r w:rsidRPr="006E16EB">
        <w:rPr>
          <w:rFonts w:ascii="Times New Roman" w:hAnsi="Times New Roman" w:cs="Times New Roman"/>
          <w:color w:val="000000" w:themeColor="text1"/>
        </w:rPr>
        <w:t>eradikasyonu için kombinasyon tedavisinde ikinci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40 mg enterik kaplı tablet</w:t>
      </w:r>
      <w:r w:rsidR="002B3EB8"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akşam yemeğinden 1 saat önce alınmalıdır. Kombinasyon tedavisi genellikle 7 gün uygulanır ve toplam 2 haftaya kadar 7 gün daha uzatılabilir. Ülser tedavisi için pantoprazol tedavisine devam edilecekse duodenal ve gastrik ülser için doz önerileri göz önüne alınmalıdır. </w:t>
      </w:r>
    </w:p>
    <w:p w:rsidR="00C95123" w:rsidRPr="006E16EB" w:rsidRDefault="00C95123" w:rsidP="00543D47">
      <w:pPr>
        <w:pStyle w:val="Default"/>
        <w:tabs>
          <w:tab w:val="left" w:pos="142"/>
        </w:tabs>
        <w:jc w:val="both"/>
        <w:rPr>
          <w:rFonts w:ascii="Times New Roman" w:hAnsi="Times New Roman" w:cs="Times New Roman"/>
          <w:color w:val="000000" w:themeColor="text1"/>
        </w:rPr>
      </w:pPr>
    </w:p>
    <w:p w:rsidR="00C95123" w:rsidRPr="006E16EB" w:rsidRDefault="002B3EB8"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Kombine tedavinin gerekmediği durumlarda</w:t>
      </w:r>
      <w:r w:rsidR="00C95123" w:rsidRPr="006E16EB">
        <w:rPr>
          <w:rFonts w:ascii="Times New Roman" w:hAnsi="Times New Roman" w:cs="Times New Roman"/>
          <w:color w:val="000000" w:themeColor="text1"/>
        </w:rPr>
        <w:t xml:space="preserve">, örneğin hasta </w:t>
      </w:r>
      <w:r w:rsidR="00C95123" w:rsidRPr="006E16EB">
        <w:rPr>
          <w:rFonts w:ascii="Times New Roman" w:hAnsi="Times New Roman" w:cs="Times New Roman"/>
          <w:i/>
          <w:iCs/>
          <w:color w:val="000000" w:themeColor="text1"/>
        </w:rPr>
        <w:t xml:space="preserve">H.pylori </w:t>
      </w:r>
      <w:r w:rsidR="00C95123" w:rsidRPr="006E16EB">
        <w:rPr>
          <w:rFonts w:ascii="Times New Roman" w:hAnsi="Times New Roman" w:cs="Times New Roman"/>
          <w:color w:val="000000" w:themeColor="text1"/>
        </w:rPr>
        <w:t>negatif ise, aşağıda belirtilen dozda PANDEV</w:t>
      </w:r>
      <w:r w:rsidR="00C95123" w:rsidRPr="006E16EB">
        <w:rPr>
          <w:rFonts w:ascii="Times New Roman" w:hAnsi="Times New Roman" w:cs="Times New Roman"/>
          <w:color w:val="000000" w:themeColor="text1"/>
          <w:vertAlign w:val="superscript"/>
        </w:rPr>
        <w:t xml:space="preserve"> </w:t>
      </w:r>
      <w:r w:rsidR="00C95123" w:rsidRPr="006E16EB">
        <w:rPr>
          <w:rFonts w:ascii="Times New Roman" w:hAnsi="Times New Roman" w:cs="Times New Roman"/>
          <w:color w:val="000000" w:themeColor="text1"/>
        </w:rPr>
        <w:t xml:space="preserve">40 mg Enterik Kaplı Tablet monoterapisi uygulanır: </w:t>
      </w:r>
    </w:p>
    <w:p w:rsidR="002B3EB8" w:rsidRPr="006E16EB" w:rsidRDefault="002B3EB8" w:rsidP="00543D47">
      <w:pPr>
        <w:pStyle w:val="Default"/>
        <w:jc w:val="both"/>
        <w:rPr>
          <w:rFonts w:ascii="Times New Roman" w:hAnsi="Times New Roman" w:cs="Times New Roman"/>
          <w:color w:val="000000" w:themeColor="text1"/>
          <w:u w:val="single"/>
        </w:rPr>
      </w:pPr>
    </w:p>
    <w:p w:rsidR="00C95123" w:rsidRPr="006E16EB" w:rsidRDefault="00C95123" w:rsidP="00FA660C">
      <w:pPr>
        <w:pStyle w:val="Default"/>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Gastrik ülser tedavisinde </w:t>
      </w:r>
    </w:p>
    <w:p w:rsidR="00C95123" w:rsidRPr="006E16EB" w:rsidRDefault="00C95123" w:rsidP="00FA660C">
      <w:pPr>
        <w:pStyle w:val="Default"/>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1 tablet PANDEV </w:t>
      </w:r>
      <w:r w:rsidR="002B3EB8" w:rsidRPr="006E16EB">
        <w:rPr>
          <w:rFonts w:ascii="Times New Roman" w:hAnsi="Times New Roman" w:cs="Times New Roman"/>
          <w:color w:val="000000" w:themeColor="text1"/>
        </w:rPr>
        <w:t xml:space="preserve">40 mg </w:t>
      </w:r>
      <w:r w:rsidRPr="006E16EB">
        <w:rPr>
          <w:rFonts w:ascii="Times New Roman" w:hAnsi="Times New Roman" w:cs="Times New Roman"/>
          <w:color w:val="000000" w:themeColor="text1"/>
        </w:rPr>
        <w:t>alınır. Bilhassa, diğer tedavilere yanıt alınamaması gibi özel vakalarda doz iki katına çıkarılabilir (günde 2 adet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40 mg). Gastrik ülser tedavisinde genellikle 4 haftalık bir periyod gereklidir. Eğer bu süre yeterli değilse, </w:t>
      </w:r>
      <w:r w:rsidR="00452DD3" w:rsidRPr="006E16EB">
        <w:rPr>
          <w:rFonts w:ascii="Times New Roman" w:hAnsi="Times New Roman" w:cs="Times New Roman"/>
          <w:color w:val="000000" w:themeColor="text1"/>
        </w:rPr>
        <w:t>genellikle ilave bir 4 haftalık tedavi süresince</w:t>
      </w:r>
      <w:r w:rsidRPr="006E16EB">
        <w:rPr>
          <w:rFonts w:ascii="Times New Roman" w:hAnsi="Times New Roman" w:cs="Times New Roman"/>
          <w:color w:val="000000" w:themeColor="text1"/>
        </w:rPr>
        <w:t xml:space="preserve"> iyileşme gözlenecektir. </w:t>
      </w:r>
    </w:p>
    <w:p w:rsidR="00C95123" w:rsidRPr="006E16EB" w:rsidRDefault="00C95123" w:rsidP="00543D47">
      <w:pPr>
        <w:pStyle w:val="Default"/>
        <w:jc w:val="both"/>
        <w:rPr>
          <w:rFonts w:ascii="Times New Roman" w:hAnsi="Times New Roman" w:cs="Times New Roman"/>
          <w:color w:val="000000" w:themeColor="text1"/>
        </w:rPr>
      </w:pPr>
    </w:p>
    <w:p w:rsidR="00C95123" w:rsidRPr="006E16EB" w:rsidRDefault="00C95123" w:rsidP="00FA660C">
      <w:pPr>
        <w:pStyle w:val="Default"/>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Duodenal ülser tedavisinde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Günde 1 tablet PANDEV </w:t>
      </w:r>
      <w:r w:rsidR="00452DD3" w:rsidRPr="006E16EB">
        <w:rPr>
          <w:rFonts w:ascii="Times New Roman" w:hAnsi="Times New Roman" w:cs="Times New Roman"/>
          <w:color w:val="000000" w:themeColor="text1"/>
        </w:rPr>
        <w:t xml:space="preserve">40 mg </w:t>
      </w:r>
      <w:r w:rsidRPr="006E16EB">
        <w:rPr>
          <w:rFonts w:ascii="Times New Roman" w:hAnsi="Times New Roman" w:cs="Times New Roman"/>
          <w:color w:val="000000" w:themeColor="text1"/>
        </w:rPr>
        <w:t>alınır. Bilhassa, diğer tedavilere yanıt alınamaması gibi özel vakalarda doz iki katına çıkarılabilir (günde 2 adet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40 mg). Duodenal ülser tedavisinde genellikle 2 haftalık bir periyod gereklidir. Eğer bu süre yeterli değilse, </w:t>
      </w:r>
      <w:r w:rsidR="00452DD3" w:rsidRPr="006E16EB">
        <w:rPr>
          <w:rFonts w:ascii="Times New Roman" w:hAnsi="Times New Roman" w:cs="Times New Roman"/>
          <w:color w:val="000000" w:themeColor="text1"/>
        </w:rPr>
        <w:t xml:space="preserve">vakaların tamamına yakınında ilave bir </w:t>
      </w:r>
      <w:r w:rsidRPr="006E16EB">
        <w:rPr>
          <w:rFonts w:ascii="Times New Roman" w:hAnsi="Times New Roman" w:cs="Times New Roman"/>
          <w:color w:val="000000" w:themeColor="text1"/>
        </w:rPr>
        <w:t>2 hafta</w:t>
      </w:r>
      <w:r w:rsidR="00452DD3" w:rsidRPr="006E16EB">
        <w:rPr>
          <w:rFonts w:ascii="Times New Roman" w:hAnsi="Times New Roman" w:cs="Times New Roman"/>
          <w:color w:val="000000" w:themeColor="text1"/>
        </w:rPr>
        <w:t>lık tedavi süresinde</w:t>
      </w:r>
      <w:r w:rsidRPr="006E16EB">
        <w:rPr>
          <w:rFonts w:ascii="Times New Roman" w:hAnsi="Times New Roman" w:cs="Times New Roman"/>
          <w:color w:val="000000" w:themeColor="text1"/>
        </w:rPr>
        <w:t xml:space="preserve"> iyileşme gözlenecektir.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lastRenderedPageBreak/>
        <w:t xml:space="preserve">Zollinger Ellison Sendromu’nun ve diğer patolojik hipersekresyonlu durumların uzun dönem tedavisinde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Tedaviye 80 mg’lık (2 adet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40 mg) günlük doz ile ba</w:t>
      </w:r>
      <w:r w:rsidR="00452DD3" w:rsidRPr="006E16EB">
        <w:rPr>
          <w:rFonts w:ascii="Times New Roman" w:hAnsi="Times New Roman" w:cs="Times New Roman"/>
          <w:color w:val="000000" w:themeColor="text1"/>
        </w:rPr>
        <w:t>şlanmalıdır. Bundan sonra doz,</w:t>
      </w:r>
      <w:r w:rsidRPr="006E16EB">
        <w:rPr>
          <w:rFonts w:ascii="Times New Roman" w:hAnsi="Times New Roman" w:cs="Times New Roman"/>
          <w:color w:val="000000" w:themeColor="text1"/>
        </w:rPr>
        <w:t xml:space="preserve"> gastrik asit sekresyonu ölçümleri esas alınarak gerektiği şekilde yükseltilebilir veya düşürülebilir. Günlük doz 80 mg’ın üzerinde olduğunda, doz bölünmeli ve günde 2 defa ver</w:t>
      </w:r>
      <w:r w:rsidR="00452DD3" w:rsidRPr="006E16EB">
        <w:rPr>
          <w:rFonts w:ascii="Times New Roman" w:hAnsi="Times New Roman" w:cs="Times New Roman"/>
          <w:color w:val="000000" w:themeColor="text1"/>
        </w:rPr>
        <w:t>ilmelidir. Pantoprazol dozunun</w:t>
      </w:r>
      <w:r w:rsidRPr="006E16EB">
        <w:rPr>
          <w:rFonts w:ascii="Times New Roman" w:hAnsi="Times New Roman" w:cs="Times New Roman"/>
          <w:color w:val="000000" w:themeColor="text1"/>
        </w:rPr>
        <w:t xml:space="preserve"> geçici olarak 160 mg’ın üzerine çıkarılması </w:t>
      </w:r>
      <w:r w:rsidR="00452DD3" w:rsidRPr="006E16EB">
        <w:rPr>
          <w:rFonts w:ascii="Times New Roman" w:hAnsi="Times New Roman" w:cs="Times New Roman"/>
          <w:color w:val="000000" w:themeColor="text1"/>
        </w:rPr>
        <w:t>mümkündür</w:t>
      </w:r>
      <w:r w:rsidRPr="006E16EB">
        <w:rPr>
          <w:rFonts w:ascii="Times New Roman" w:hAnsi="Times New Roman" w:cs="Times New Roman"/>
          <w:color w:val="000000" w:themeColor="text1"/>
        </w:rPr>
        <w:t xml:space="preserve">, </w:t>
      </w:r>
      <w:r w:rsidR="00452DD3" w:rsidRPr="006E16EB">
        <w:rPr>
          <w:rFonts w:ascii="Times New Roman" w:hAnsi="Times New Roman" w:cs="Times New Roman"/>
          <w:color w:val="000000" w:themeColor="text1"/>
        </w:rPr>
        <w:t>ancak</w:t>
      </w:r>
      <w:r w:rsidRPr="006E16EB">
        <w:rPr>
          <w:rFonts w:ascii="Times New Roman" w:hAnsi="Times New Roman" w:cs="Times New Roman"/>
          <w:color w:val="000000" w:themeColor="text1"/>
        </w:rPr>
        <w:t xml:space="preserve"> yeterli asit kontrolü için gerekenden daha uzun süre uygulanmamalıdır. Zollinger Ellison Sendromu’nda ve diğer patolojik hipersekresyonlu durumlarda tedavi süresi sınırlandırılmamış </w:t>
      </w:r>
      <w:r w:rsidR="00452DD3" w:rsidRPr="006E16EB">
        <w:rPr>
          <w:rFonts w:ascii="Times New Roman" w:hAnsi="Times New Roman" w:cs="Times New Roman"/>
          <w:color w:val="000000" w:themeColor="text1"/>
        </w:rPr>
        <w:t>ve</w:t>
      </w:r>
      <w:r w:rsidRPr="006E16EB">
        <w:rPr>
          <w:rFonts w:ascii="Times New Roman" w:hAnsi="Times New Roman" w:cs="Times New Roman"/>
          <w:color w:val="000000" w:themeColor="text1"/>
        </w:rPr>
        <w:t xml:space="preserve"> klinik </w:t>
      </w:r>
      <w:r w:rsidR="00452DD3" w:rsidRPr="006E16EB">
        <w:rPr>
          <w:rFonts w:ascii="Times New Roman" w:hAnsi="Times New Roman" w:cs="Times New Roman"/>
          <w:color w:val="000000" w:themeColor="text1"/>
        </w:rPr>
        <w:t>gereksinimlere</w:t>
      </w:r>
      <w:r w:rsidRPr="006E16EB">
        <w:rPr>
          <w:rFonts w:ascii="Times New Roman" w:hAnsi="Times New Roman" w:cs="Times New Roman"/>
          <w:color w:val="000000" w:themeColor="text1"/>
        </w:rPr>
        <w:t xml:space="preserve"> göre ayarlanabilir. </w:t>
      </w:r>
    </w:p>
    <w:p w:rsidR="00C95123" w:rsidRPr="006E16EB" w:rsidRDefault="00C95123"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Uygulama </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ekli: </w:t>
      </w:r>
    </w:p>
    <w:p w:rsidR="00452DD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çiğnenmemeli veya kırılmamalı; yemekten bir saat önce su ile bütün olarak yutulmalıdır. </w:t>
      </w:r>
    </w:p>
    <w:p w:rsidR="00452DD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İlacın alınması unutulduğunda, gecikmiş olan doz alınmamalıdır. Tedavi, hastanın doz şemasına göre, bir sonraki dozdan itibaren sürdürülmelidir.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ile tedavinin erken kesilmesi veya tedaviye ara verilmesi konusunda hekime danışılmalıdır. </w:t>
      </w:r>
    </w:p>
    <w:p w:rsidR="00C95123" w:rsidRPr="006E16EB" w:rsidRDefault="00C95123"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Özel popülasyonlara ili</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kin ek bilgiler: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Böbrek yetmezli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i: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Böbrek fonksiyonu bozulmuş hastalarda doz ayarlamasına gerek yoktur. Böbrek yetmezliği olan hastalarda PANDEV’in kombine tedavisine dair etkililik ve güvenlilik ile ilgili veri olmadığından, bu hastalarda </w:t>
      </w:r>
      <w:r w:rsidRPr="006E16EB">
        <w:rPr>
          <w:rFonts w:ascii="Times New Roman" w:hAnsi="Times New Roman" w:cs="Times New Roman"/>
          <w:i/>
          <w:iCs/>
          <w:color w:val="000000" w:themeColor="text1"/>
        </w:rPr>
        <w:t xml:space="preserve">H.pylori </w:t>
      </w:r>
      <w:r w:rsidRPr="006E16EB">
        <w:rPr>
          <w:rFonts w:ascii="Times New Roman" w:hAnsi="Times New Roman" w:cs="Times New Roman"/>
          <w:color w:val="000000" w:themeColor="text1"/>
        </w:rPr>
        <w:t>eradikasyonu için PANDEV</w:t>
      </w:r>
      <w:r w:rsidRPr="006E16EB">
        <w:rPr>
          <w:rFonts w:ascii="Times New Roman" w:hAnsi="Times New Roman" w:cs="Times New Roman"/>
          <w:color w:val="000000" w:themeColor="text1"/>
          <w:vertAlign w:val="superscript"/>
        </w:rPr>
        <w:t xml:space="preserve"> </w:t>
      </w:r>
      <w:r w:rsidRPr="006E16EB">
        <w:rPr>
          <w:rFonts w:ascii="Times New Roman" w:hAnsi="Times New Roman" w:cs="Times New Roman"/>
          <w:color w:val="000000" w:themeColor="text1"/>
        </w:rPr>
        <w:t xml:space="preserve">ile kombine tedavi uygulanamamalıdır.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Karaci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er yetmezli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i: </w:t>
      </w:r>
    </w:p>
    <w:p w:rsidR="00C95123" w:rsidRPr="006E16EB" w:rsidRDefault="00452DD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Ağır</w:t>
      </w:r>
      <w:r w:rsidR="00C95123" w:rsidRPr="006E16EB">
        <w:rPr>
          <w:rFonts w:ascii="Times New Roman" w:hAnsi="Times New Roman" w:cs="Times New Roman"/>
          <w:color w:val="000000" w:themeColor="text1"/>
        </w:rPr>
        <w:t xml:space="preserve"> karaciğer yetmezliği olan hastalarda günlük 20 mg pantoprazol dozu </w:t>
      </w:r>
      <w:r w:rsidRPr="006E16EB">
        <w:rPr>
          <w:rFonts w:ascii="Times New Roman" w:hAnsi="Times New Roman" w:cs="Times New Roman"/>
          <w:color w:val="000000" w:themeColor="text1"/>
        </w:rPr>
        <w:t xml:space="preserve">(1 adet PANDEV 20 mg) </w:t>
      </w:r>
      <w:r w:rsidR="00C95123" w:rsidRPr="006E16EB">
        <w:rPr>
          <w:rFonts w:ascii="Times New Roman" w:hAnsi="Times New Roman" w:cs="Times New Roman"/>
          <w:color w:val="000000" w:themeColor="text1"/>
        </w:rPr>
        <w:t xml:space="preserve">aşılmamalıdır. Orta ve ağır derecede karaciğer yetmezliği olan hastalarda PANDEV’in kombine tedavisine dair etkililik ve güvenlilik ile ilgili veri olmadığından, bu hastalarda </w:t>
      </w:r>
      <w:r w:rsidR="00C95123" w:rsidRPr="006E16EB">
        <w:rPr>
          <w:rFonts w:ascii="Times New Roman" w:hAnsi="Times New Roman" w:cs="Times New Roman"/>
          <w:i/>
          <w:iCs/>
          <w:color w:val="000000" w:themeColor="text1"/>
        </w:rPr>
        <w:t xml:space="preserve">H.pylori </w:t>
      </w:r>
      <w:r w:rsidR="00C95123" w:rsidRPr="006E16EB">
        <w:rPr>
          <w:rFonts w:ascii="Times New Roman" w:hAnsi="Times New Roman" w:cs="Times New Roman"/>
          <w:color w:val="000000" w:themeColor="text1"/>
        </w:rPr>
        <w:t>eradikasyonu için PANDEV</w:t>
      </w:r>
      <w:r w:rsidR="00C95123" w:rsidRPr="006E16EB">
        <w:rPr>
          <w:rFonts w:ascii="Times New Roman" w:hAnsi="Times New Roman" w:cs="Times New Roman"/>
          <w:color w:val="000000" w:themeColor="text1"/>
          <w:vertAlign w:val="superscript"/>
        </w:rPr>
        <w:t xml:space="preserve"> </w:t>
      </w:r>
      <w:r w:rsidR="00C95123" w:rsidRPr="006E16EB">
        <w:rPr>
          <w:rFonts w:ascii="Times New Roman" w:hAnsi="Times New Roman" w:cs="Times New Roman"/>
          <w:color w:val="000000" w:themeColor="text1"/>
        </w:rPr>
        <w:t xml:space="preserve">ile kombine tedavi uygulanamamalıdır. </w:t>
      </w:r>
      <w:r w:rsidRPr="006E16EB">
        <w:rPr>
          <w:rFonts w:ascii="Times New Roman" w:eastAsiaTheme="minorHAnsi" w:hAnsi="Times New Roman" w:cs="Times New Roman"/>
          <w:lang w:eastAsia="en-US"/>
        </w:rPr>
        <w:t xml:space="preserve"> </w:t>
      </w:r>
      <w:r w:rsidRPr="006E16EB">
        <w:rPr>
          <w:rFonts w:ascii="Times New Roman" w:eastAsiaTheme="minorHAnsi" w:hAnsi="Times New Roman" w:cs="Times New Roman"/>
          <w:color w:val="auto"/>
          <w:lang w:eastAsia="en-US"/>
        </w:rPr>
        <w:t>Ağır karaciğer yetmezliği olan hastalarda tedavi sırasında, özellikle de uzun süreli kullanımda karaciğer enzimleri düzenli olarak izlenmelidir. Karaciğer enzimlerinin yükselmesi durumunda PANDEV</w:t>
      </w:r>
      <w:r w:rsidRPr="006E16EB">
        <w:rPr>
          <w:rFonts w:ascii="Times New Roman" w:eastAsiaTheme="minorHAnsi" w:hAnsi="Times New Roman" w:cs="Times New Roman"/>
          <w:color w:val="auto"/>
          <w:position w:val="8"/>
          <w:vertAlign w:val="superscript"/>
          <w:lang w:eastAsia="en-US"/>
        </w:rPr>
        <w:t xml:space="preserve"> </w:t>
      </w:r>
      <w:r w:rsidRPr="006E16EB">
        <w:rPr>
          <w:rFonts w:ascii="Times New Roman" w:eastAsiaTheme="minorHAnsi" w:hAnsi="Times New Roman" w:cs="Times New Roman"/>
          <w:color w:val="auto"/>
          <w:lang w:eastAsia="en-US"/>
        </w:rPr>
        <w:t>kullanımı kesilmelidir.</w:t>
      </w:r>
    </w:p>
    <w:p w:rsidR="00452DD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Pediyatrik popülasyon: </w:t>
      </w:r>
    </w:p>
    <w:p w:rsidR="00C95123" w:rsidRPr="006E16EB" w:rsidRDefault="00452DD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 xml:space="preserve">12 yaşın altındaki çocuklarda etkililik ve güvenliliğine ilişkin kısıtlı veri bulunması nedeniyle, PANDEV ’in, bu yaş grubundaki çocuklarda 40 miligramlık dozda kullanılması </w:t>
      </w:r>
      <w:r w:rsidRPr="006E16EB">
        <w:rPr>
          <w:rFonts w:ascii="Times New Roman" w:eastAsiaTheme="minorHAnsi" w:hAnsi="Times New Roman" w:cs="Times New Roman"/>
          <w:color w:val="auto"/>
          <w:lang w:eastAsia="en-US"/>
        </w:rPr>
        <w:lastRenderedPageBreak/>
        <w:t>önerilmemektedir. (5-12 yaş arası çocuklar için PANDEV</w:t>
      </w:r>
      <w:r w:rsidRPr="006E16EB">
        <w:rPr>
          <w:rFonts w:ascii="Times New Roman" w:eastAsiaTheme="minorHAnsi" w:hAnsi="Times New Roman" w:cs="Times New Roman"/>
          <w:color w:val="auto"/>
          <w:position w:val="8"/>
          <w:vertAlign w:val="superscript"/>
          <w:lang w:eastAsia="en-US"/>
        </w:rPr>
        <w:t xml:space="preserve"> </w:t>
      </w:r>
      <w:r w:rsidRPr="006E16EB">
        <w:rPr>
          <w:rFonts w:ascii="Times New Roman" w:eastAsiaTheme="minorHAnsi" w:hAnsi="Times New Roman" w:cs="Times New Roman"/>
          <w:color w:val="auto"/>
          <w:lang w:eastAsia="en-US"/>
        </w:rPr>
        <w:t xml:space="preserve">20 mg tercih edilmelidir.) </w:t>
      </w:r>
      <w:r w:rsidR="00C95123" w:rsidRPr="006E16EB">
        <w:rPr>
          <w:rFonts w:ascii="Times New Roman" w:hAnsi="Times New Roman" w:cs="Times New Roman"/>
          <w:b/>
          <w:bCs/>
          <w:color w:val="000000" w:themeColor="text1"/>
        </w:rPr>
        <w:t xml:space="preserve">Geriyatrik popülasyon: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Yaşlılarda doz ayarlamasına gerek yoktur. </w:t>
      </w:r>
    </w:p>
    <w:p w:rsidR="008269AF" w:rsidRPr="006E16EB" w:rsidRDefault="008269AF" w:rsidP="00543D47">
      <w:pPr>
        <w:pStyle w:val="Default"/>
        <w:tabs>
          <w:tab w:val="left" w:pos="142"/>
        </w:tabs>
        <w:jc w:val="both"/>
        <w:rPr>
          <w:rFonts w:ascii="Times New Roman" w:hAnsi="Times New Roman" w:cs="Times New Roman"/>
          <w:color w:val="000000" w:themeColor="text1"/>
        </w:rPr>
      </w:pPr>
    </w:p>
    <w:p w:rsidR="002F542A"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4.3 Kontrendikasyonlar </w:t>
      </w:r>
    </w:p>
    <w:p w:rsidR="00141FF1" w:rsidRPr="006E16EB" w:rsidRDefault="002F542A" w:rsidP="00FA660C">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hAnsi="Times New Roman" w:cs="Times New Roman"/>
          <w:color w:val="000000" w:themeColor="text1"/>
        </w:rPr>
        <w:t>PANDEV</w:t>
      </w:r>
      <w:r w:rsidRPr="006E16EB">
        <w:rPr>
          <w:rFonts w:ascii="Times New Roman" w:eastAsiaTheme="minorHAnsi" w:hAnsi="Times New Roman" w:cs="Times New Roman"/>
          <w:color w:val="auto"/>
          <w:lang w:eastAsia="en-US"/>
        </w:rPr>
        <w:t>, bileşimindeki etkin maddeye, dallanmış benzimidazollere veya bileşiminde bulunan diğer yardımcı maddelerden herhangi birine veya kombinasyonda birlikte kullanılan diğer ilaçlara karşı aşırı duyarlılığı bilinen hastalarda kullanılmamalıdır.</w:t>
      </w:r>
    </w:p>
    <w:p w:rsidR="002F542A" w:rsidRPr="006E16EB" w:rsidRDefault="002F542A" w:rsidP="00543D47">
      <w:pPr>
        <w:pStyle w:val="Default"/>
        <w:tabs>
          <w:tab w:val="left" w:pos="142"/>
        </w:tabs>
        <w:jc w:val="both"/>
        <w:rPr>
          <w:rFonts w:ascii="Times New Roman" w:hAnsi="Times New Roman" w:cs="Times New Roman"/>
          <w:color w:val="000000" w:themeColor="text1"/>
        </w:rPr>
      </w:pPr>
    </w:p>
    <w:p w:rsidR="0047337F"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4.4 Özel kullanım uyarıları ve önlemleri </w:t>
      </w:r>
    </w:p>
    <w:p w:rsidR="000B571A"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Karaciğer yetmezliği:</w:t>
      </w:r>
    </w:p>
    <w:p w:rsidR="00C95123"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Ağır</w:t>
      </w:r>
      <w:r w:rsidR="00C95123" w:rsidRPr="006E16EB">
        <w:rPr>
          <w:rFonts w:ascii="Times New Roman" w:hAnsi="Times New Roman" w:cs="Times New Roman"/>
          <w:color w:val="000000" w:themeColor="text1"/>
        </w:rPr>
        <w:t xml:space="preserve"> karaciğer </w:t>
      </w:r>
      <w:r w:rsidRPr="006E16EB">
        <w:rPr>
          <w:rFonts w:ascii="Times New Roman" w:hAnsi="Times New Roman" w:cs="Times New Roman"/>
          <w:color w:val="000000" w:themeColor="text1"/>
        </w:rPr>
        <w:t>yetmezliği</w:t>
      </w:r>
      <w:r w:rsidR="00C95123" w:rsidRPr="006E16EB">
        <w:rPr>
          <w:rFonts w:ascii="Times New Roman" w:hAnsi="Times New Roman" w:cs="Times New Roman"/>
          <w:color w:val="000000" w:themeColor="text1"/>
        </w:rPr>
        <w:t xml:space="preserve"> olan hastalarda pantoprazol ile tedavi sırasında, özellikle de uzun süreli kullanımda, karaciğer enzimleri düzenli olarak izlenmelidir. Karaciğer enzimlerinin yükselmesi durumunda PANDEV kullanımı kesilmelidir.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Kombine tedavi:</w:t>
      </w:r>
    </w:p>
    <w:p w:rsidR="0047337F"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Kombine tedavi sırasında diğer ilaçların ürün bilgileri göz önüne alınmalıdır.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Alarm semptomlarının varlığı:</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Herhangi bir alarm semptomunun varlığında (örn. beklenmeyen kilo kaybı, tekrarlayan kusmalar, disfaji, hematemez, anemi veya melena) ve gastrik ülser şüphesinde ya da varlığında, malinite olasılığı </w:t>
      </w:r>
      <w:r w:rsidR="0047337F" w:rsidRPr="006E16EB">
        <w:rPr>
          <w:rFonts w:ascii="Times New Roman" w:hAnsi="Times New Roman" w:cs="Times New Roman"/>
          <w:color w:val="000000" w:themeColor="text1"/>
        </w:rPr>
        <w:t>dışlanmalıdır.</w:t>
      </w:r>
      <w:r w:rsidRPr="006E16EB">
        <w:rPr>
          <w:rFonts w:ascii="Times New Roman" w:hAnsi="Times New Roman" w:cs="Times New Roman"/>
          <w:color w:val="000000" w:themeColor="text1"/>
        </w:rPr>
        <w:t xml:space="preserve"> </w:t>
      </w:r>
      <w:r w:rsidR="0047337F" w:rsidRPr="006E16EB">
        <w:rPr>
          <w:rFonts w:ascii="Times New Roman" w:hAnsi="Times New Roman" w:cs="Times New Roman"/>
          <w:color w:val="000000" w:themeColor="text1"/>
        </w:rPr>
        <w:t>Ç</w:t>
      </w:r>
      <w:r w:rsidRPr="006E16EB">
        <w:rPr>
          <w:rFonts w:ascii="Times New Roman" w:hAnsi="Times New Roman" w:cs="Times New Roman"/>
          <w:color w:val="000000" w:themeColor="text1"/>
        </w:rPr>
        <w:t>ünkü pantoprazol</w:t>
      </w:r>
      <w:r w:rsidR="0047337F"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semptomları baskılayabilir ve tanının gecikmesine neden olabilir.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Uygun</w:t>
      </w:r>
      <w:r w:rsidR="00C95123" w:rsidRPr="006E16EB">
        <w:rPr>
          <w:rFonts w:ascii="Times New Roman" w:hAnsi="Times New Roman" w:cs="Times New Roman"/>
          <w:color w:val="000000" w:themeColor="text1"/>
        </w:rPr>
        <w:t xml:space="preserve"> tedaviye rağmen semptomlar hala devam ediyorsa ileri tetkikler yapılmalıdır.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Atazanavir ile birlikte kullanım:</w:t>
      </w:r>
    </w:p>
    <w:p w:rsidR="0047337F"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Atazanavir ile proton pompası inhibitörlerinin birlikte uygulanması tavsiye edilmez. (bkz. Bölüm 4.5) Eğer atazanavir ile bir proton pompası inhibitörünün kombinasyonu zorunlu ise, </w:t>
      </w:r>
    </w:p>
    <w:p w:rsidR="0047337F" w:rsidRPr="006E16EB" w:rsidRDefault="0047337F" w:rsidP="00FA660C">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atazanavir dozunun 400 mg’a yükseltilmesi ve tedaviye 100 mg ritonavir eklenmesi ve hastanın klinik açıdan dikkatle izlenmesi (örn. viral yük) önerilir. Günlük 20 mg pantoprazol dozu aşılmamalıdır.</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B12 vitamini emilimi üzerindeki etki:</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Zollinger-Ellison sendromu ve uzun süreli tedavi gerektiren diğer patalojik hipersekresyon durumlarında pantoprazol, tüm diğer asit bloke edici ilaçlar gibi, hipoklorhidri veya aklorhidriye bağlı olarak B12 vitamini (siyanokobalamin) emilimini azaltabilir. Bu durum, B12 vitamini vücut stokları azalmış veya emiliminin azalması yönünde risk faktörleri olan uzun süreli tedavi gören hastalarda ya da ilgili klinik semptomların gözlenmesi durumunda göz önünde bulundurulmalıdır.</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lastRenderedPageBreak/>
        <w:t>Uzun süreli tedavi:</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Özellikle 1 yıllık sürenin aşıldığı uzun süreli tedavilerde, hastalar düzenli olarak gözlenmelidir.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Kemik kırığı: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Yayınlanmış çeşitli gözlemsel çalışmalar, proton pompası inhibitörü (PPİ) tedavisinin, kalça, el bileği ya da omurgada osteoporoza bağlı kırık riskinde bir artışla ilişkili olabileceğini düşündürmektedir. Çoklu günlük dozlar ve uzun süreli PPİ tedavisi (bir yıl ya da daha fazla) şeklinde tanımlanan yüksek doz alan hastalarda kırık riski artmıştır. Hastalar, tedavi edildikleri durum için uygun olan en düşük dozda ve en kısa süreli PPİ tedavisini almalıdırlar.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Hipomagnezemi: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PPİ’lerle en az 3 ay süreyle tedavi edilen hastalarda ve çoğu olguda da bir yıl tedaviden sonra nadiren semptomatik ve asemptomatik hipomagnezemi bildirilmiştir. Ciddi advers olaylar tetani, aritmiler ve nöbetleri içermektedir. Çoğu hastada hipomagnezemi tedavisi magnezyum replasmanını ve PPİ tedavisinin kesilmesini gerektirmektedir. Uzun süre tedavi alması beklenen ya da PPİ’leri digoksin gibi ilaçlar ya da hipomagnezemiye neden olabilecek ilaçlarla (örn. diüretikler) birlikte alan hastalar için, sağlık mesleği mensupları PPİ tedavisine başlamadan önce ve daha sonra periyodik olarak magnezyum düzeylerini takip edebilirler.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Nöroendokrin tümörler için yapılan incelemelerle etkileşimler: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Gastrik asit düzeyindeki ilaç kaynaklı azalmalara sekonder olarak serum kromogranin A (CgA) düzeyleri artmaktadır. Artmış CgA düzeyi nöroendokrin tümörler için yapılan tanı incelemelerinde yanlış pozitif sonuçlara yol açabilir. Uygulayıcılar CgA düzeylerini değerlendirmeden önce geçici olarak PPİ tedavisine ara vermeli ve eğer başlangıçtaki CgA düzeyleri yüksek ise testi tekrar etmelidirler. Eğer seri testler yapılıyorsa (örn. monitorizasyon için), testler arasındaki referans aralıkları değişebileceği için testler aynı laboratuarda yapılmalıdır.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eastAsiaTheme="minorHAnsi" w:hAnsi="Times New Roman" w:cs="Times New Roman"/>
          <w:color w:val="auto"/>
          <w:u w:val="single"/>
          <w:lang w:eastAsia="en-US"/>
        </w:rPr>
        <w:t>Non-steroidal Anti-inflamatuar İlaçlar (</w:t>
      </w:r>
      <w:r w:rsidRPr="006E16EB">
        <w:rPr>
          <w:rFonts w:ascii="Times New Roman" w:hAnsi="Times New Roman" w:cs="Times New Roman"/>
          <w:color w:val="000000" w:themeColor="text1"/>
          <w:u w:val="single"/>
        </w:rPr>
        <w:t xml:space="preserve">NSAİİ) ile birlikte kullanım: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Seçici olmayan NSAİİ’lerin indüklediği gastroduodenal ülserin önlenmesi amacıyla PANDEV kullanımı, sürekli NSAİİ tedavisine ihtiyaç duyan ve gastrointestinal komplikasyonlar geliştirme riski yüksek olan hastalarla sınırlandırılmalıdır. Yüksek risk, yaşlılık (65 yaş üzeri), gastrik veya duodenal ülser hikâyesi veya üst gastrointestinal kanama hikâyesi gibi bireysel risk faktörlerine göre değerlendirilmelidir.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Bakterilerin yol açtığı gastrointestinal enfeksiyonlar: </w:t>
      </w:r>
    </w:p>
    <w:p w:rsidR="006E16EB" w:rsidRPr="006E16EB" w:rsidRDefault="00F627A7" w:rsidP="006E16EB">
      <w:pPr>
        <w:pStyle w:val="Default"/>
        <w:spacing w:line="360" w:lineRule="auto"/>
        <w:jc w:val="both"/>
        <w:rPr>
          <w:rFonts w:ascii="Times New Roman" w:eastAsiaTheme="minorHAnsi" w:hAnsi="Times New Roman" w:cs="Times New Roman"/>
          <w:color w:val="auto"/>
          <w:lang w:eastAsia="en-US"/>
        </w:rPr>
      </w:pPr>
      <w:r w:rsidRPr="006E16EB">
        <w:rPr>
          <w:rFonts w:ascii="Times New Roman" w:hAnsi="Times New Roman" w:cs="Times New Roman"/>
          <w:color w:val="000000" w:themeColor="text1"/>
        </w:rPr>
        <w:t xml:space="preserve">Bütün </w:t>
      </w:r>
      <w:r w:rsidRPr="006E16EB">
        <w:rPr>
          <w:rFonts w:ascii="Times New Roman" w:eastAsiaTheme="minorHAnsi" w:hAnsi="Times New Roman" w:cs="Times New Roman"/>
          <w:color w:val="auto"/>
          <w:lang w:eastAsia="en-US"/>
        </w:rPr>
        <w:t>proton pompası inhibitörleri</w:t>
      </w:r>
      <w:r w:rsidRPr="006E16EB">
        <w:rPr>
          <w:rFonts w:ascii="Times New Roman" w:hAnsi="Times New Roman" w:cs="Times New Roman"/>
          <w:color w:val="000000" w:themeColor="text1"/>
        </w:rPr>
        <w:t xml:space="preserve"> gibi pantoprazolün de üst gastrointestinal sistemde </w:t>
      </w:r>
      <w:r w:rsidRPr="006E16EB">
        <w:rPr>
          <w:rFonts w:ascii="Times New Roman" w:hAnsi="Times New Roman" w:cs="Times New Roman"/>
          <w:color w:val="000000" w:themeColor="text1"/>
        </w:rPr>
        <w:lastRenderedPageBreak/>
        <w:t xml:space="preserve">normal olarak bulunan bakteri sayısını artırması beklenebilir. PANDEV ile tedavi, </w:t>
      </w:r>
      <w:r w:rsidRPr="006E16EB">
        <w:rPr>
          <w:rFonts w:ascii="Times New Roman" w:hAnsi="Times New Roman" w:cs="Times New Roman"/>
          <w:i/>
          <w:iCs/>
          <w:color w:val="000000" w:themeColor="text1"/>
        </w:rPr>
        <w:t xml:space="preserve">Salmonella </w:t>
      </w:r>
      <w:r w:rsidRPr="006E16EB">
        <w:rPr>
          <w:rFonts w:ascii="Times New Roman" w:hAnsi="Times New Roman" w:cs="Times New Roman"/>
          <w:color w:val="000000" w:themeColor="text1"/>
        </w:rPr>
        <w:t xml:space="preserve">ve </w:t>
      </w:r>
      <w:r w:rsidRPr="006E16EB">
        <w:rPr>
          <w:rFonts w:ascii="Times New Roman" w:hAnsi="Times New Roman" w:cs="Times New Roman"/>
          <w:i/>
          <w:iCs/>
          <w:color w:val="000000" w:themeColor="text1"/>
        </w:rPr>
        <w:t xml:space="preserve">Campylobacter </w:t>
      </w:r>
      <w:r w:rsidRPr="006E16EB">
        <w:rPr>
          <w:rFonts w:ascii="Times New Roman" w:hAnsi="Times New Roman" w:cs="Times New Roman"/>
          <w:color w:val="000000" w:themeColor="text1"/>
        </w:rPr>
        <w:t xml:space="preserve">gibi bakterilerin yol açtığı gastrointestinal enfeksiyon </w:t>
      </w:r>
      <w:r w:rsidRPr="006E16EB">
        <w:rPr>
          <w:rFonts w:ascii="Times New Roman" w:eastAsiaTheme="minorHAnsi" w:hAnsi="Times New Roman" w:cs="Times New Roman"/>
          <w:color w:val="auto"/>
          <w:lang w:eastAsia="en-US"/>
        </w:rPr>
        <w:t>riskinde az da olsa bir artışa neden olabilir (bkz. Bölüm 5.1)</w:t>
      </w:r>
    </w:p>
    <w:p w:rsidR="00141FF1" w:rsidRPr="00622482" w:rsidRDefault="006E16EB" w:rsidP="006E16EB">
      <w:pPr>
        <w:pStyle w:val="Default"/>
        <w:tabs>
          <w:tab w:val="left" w:pos="142"/>
        </w:tabs>
        <w:spacing w:line="360" w:lineRule="auto"/>
        <w:jc w:val="both"/>
        <w:rPr>
          <w:rFonts w:ascii="Times New Roman" w:hAnsi="Times New Roman" w:cs="Times New Roman"/>
          <w:color w:val="auto"/>
        </w:rPr>
      </w:pPr>
      <w:r w:rsidRPr="00622482">
        <w:rPr>
          <w:rFonts w:ascii="Times New Roman" w:eastAsiaTheme="minorHAnsi" w:hAnsi="Times New Roman" w:cs="Times New Roman"/>
          <w:color w:val="auto"/>
          <w:lang w:eastAsia="en-US"/>
        </w:rPr>
        <w:t>Bu tıbbi ürün her tablette 10 gramdan daha az (</w:t>
      </w:r>
      <w:r w:rsidR="00622482" w:rsidRPr="00622482">
        <w:rPr>
          <w:rFonts w:ascii="Times New Roman" w:eastAsiaTheme="minorHAnsi" w:hAnsi="Times New Roman" w:cs="Times New Roman"/>
          <w:color w:val="auto"/>
          <w:lang w:eastAsia="en-US"/>
        </w:rPr>
        <w:t>89.25</w:t>
      </w:r>
      <w:r w:rsidRPr="00622482">
        <w:rPr>
          <w:rFonts w:ascii="Times New Roman" w:eastAsiaTheme="minorHAnsi" w:hAnsi="Times New Roman" w:cs="Times New Roman"/>
          <w:color w:val="auto"/>
          <w:lang w:eastAsia="en-US"/>
        </w:rPr>
        <w:t xml:space="preserve"> mg) mannitol ihtiva eder; bu nedenle laksatif etki göstermesi beklenmez. </w:t>
      </w:r>
    </w:p>
    <w:p w:rsidR="006E16EB" w:rsidRPr="006E16EB" w:rsidRDefault="006E16EB" w:rsidP="006E16EB">
      <w:pPr>
        <w:spacing w:after="0" w:line="360" w:lineRule="auto"/>
        <w:jc w:val="both"/>
        <w:rPr>
          <w:rFonts w:ascii="Times New Roman" w:hAnsi="Times New Roman" w:cs="Times New Roman"/>
          <w:sz w:val="24"/>
          <w:szCs w:val="24"/>
        </w:rPr>
      </w:pPr>
      <w:r w:rsidRPr="00622482">
        <w:rPr>
          <w:rFonts w:ascii="Times New Roman" w:hAnsi="Times New Roman" w:cs="Times New Roman"/>
          <w:sz w:val="24"/>
          <w:szCs w:val="24"/>
        </w:rPr>
        <w:t>Bu tıbbi ürün her dozunda 1 mmol (23 mg)'dan daha az sodyum ihtiva eder; bu dozda sodyuma bağlı herhangi bir yan etki beklenmemektedir.</w:t>
      </w:r>
    </w:p>
    <w:p w:rsidR="00F627A7" w:rsidRPr="006E16EB" w:rsidRDefault="00F627A7" w:rsidP="00543D47">
      <w:pPr>
        <w:pStyle w:val="Default"/>
        <w:tabs>
          <w:tab w:val="left" w:pos="142"/>
        </w:tabs>
        <w:jc w:val="both"/>
        <w:rPr>
          <w:rFonts w:ascii="Times New Roman" w:hAnsi="Times New Roman" w:cs="Times New Roman"/>
          <w:color w:val="FF0000"/>
        </w:rPr>
      </w:pPr>
    </w:p>
    <w:p w:rsidR="00B74452" w:rsidRPr="006E16EB" w:rsidRDefault="00C95123"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4.5 Di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er tıbbi ürünler ile etkile</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imler ve di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er etkile</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im </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ekilleri </w:t>
      </w:r>
    </w:p>
    <w:p w:rsidR="00B74452" w:rsidRPr="006E16EB" w:rsidRDefault="00B74452"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Pantoprazolün diğer ilaçların emilimi üzerindeki etkisi:</w:t>
      </w:r>
    </w:p>
    <w:p w:rsidR="00B74452" w:rsidRPr="006E16EB" w:rsidRDefault="00C95123"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Şiddetli ve uzun süren gastrik asit sekresyonu inhibisyonu nedeniyle PANDEV, </w:t>
      </w:r>
      <w:r w:rsidR="00B74452" w:rsidRPr="006E16EB">
        <w:rPr>
          <w:rFonts w:ascii="Times New Roman" w:hAnsi="Times New Roman" w:cs="Times New Roman"/>
          <w:color w:val="000000" w:themeColor="text1"/>
        </w:rPr>
        <w:t>biyoyararlanımı pH’ya bağlı (</w:t>
      </w:r>
      <w:r w:rsidRPr="006E16EB">
        <w:rPr>
          <w:rFonts w:ascii="Times New Roman" w:hAnsi="Times New Roman" w:cs="Times New Roman"/>
          <w:color w:val="000000" w:themeColor="text1"/>
        </w:rPr>
        <w:t>ketokonazol, itrakonazol, posakonazol gibi bazı azol antifungallerin ve erloti</w:t>
      </w:r>
      <w:r w:rsidR="003C4905" w:rsidRPr="006E16EB">
        <w:rPr>
          <w:rFonts w:ascii="Times New Roman" w:hAnsi="Times New Roman" w:cs="Times New Roman"/>
          <w:color w:val="000000" w:themeColor="text1"/>
        </w:rPr>
        <w:t>nib gibi bazı ilaçlar)</w:t>
      </w:r>
      <w:r w:rsidRPr="006E16EB">
        <w:rPr>
          <w:rFonts w:ascii="Times New Roman" w:hAnsi="Times New Roman" w:cs="Times New Roman"/>
          <w:color w:val="000000" w:themeColor="text1"/>
        </w:rPr>
        <w:t xml:space="preserve"> </w:t>
      </w:r>
      <w:r w:rsidR="003C4905" w:rsidRPr="006E16EB">
        <w:rPr>
          <w:rFonts w:ascii="Times New Roman" w:hAnsi="Times New Roman" w:cs="Times New Roman"/>
          <w:color w:val="000000" w:themeColor="text1"/>
        </w:rPr>
        <w:t>ilaçların emilimini</w:t>
      </w:r>
      <w:r w:rsidRPr="006E16EB">
        <w:rPr>
          <w:rFonts w:ascii="Times New Roman" w:hAnsi="Times New Roman" w:cs="Times New Roman"/>
          <w:color w:val="000000" w:themeColor="text1"/>
        </w:rPr>
        <w:t xml:space="preserve"> azaltabilir. </w:t>
      </w:r>
    </w:p>
    <w:p w:rsidR="00B74452" w:rsidRPr="006E16EB" w:rsidRDefault="00B74452"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HIV ilaçları (atazanavir):</w:t>
      </w:r>
    </w:p>
    <w:p w:rsidR="00101188"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Atazanavir ve </w:t>
      </w:r>
      <w:r w:rsidR="003C4905" w:rsidRPr="006E16EB">
        <w:rPr>
          <w:rFonts w:ascii="Times New Roman" w:hAnsi="Times New Roman" w:cs="Times New Roman"/>
          <w:color w:val="000000" w:themeColor="text1"/>
        </w:rPr>
        <w:t>emilimi</w:t>
      </w:r>
      <w:r w:rsidRPr="006E16EB">
        <w:rPr>
          <w:rFonts w:ascii="Times New Roman" w:hAnsi="Times New Roman" w:cs="Times New Roman"/>
          <w:color w:val="000000" w:themeColor="text1"/>
        </w:rPr>
        <w:t xml:space="preserve"> pH bağımlı diğer HIV ilaçlarının proton pompası inhibitörleri ile uygulanması</w:t>
      </w:r>
      <w:r w:rsidR="003C4905"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HIV ilaçlarının biyoyararlanımını önemli derecede azaltarak bu ilaçların etkililiğini </w:t>
      </w:r>
      <w:r w:rsidR="003C4905" w:rsidRPr="006E16EB">
        <w:rPr>
          <w:rFonts w:ascii="Times New Roman" w:hAnsi="Times New Roman" w:cs="Times New Roman"/>
          <w:color w:val="000000" w:themeColor="text1"/>
        </w:rPr>
        <w:t>azaltabilir</w:t>
      </w:r>
      <w:r w:rsidRPr="006E16EB">
        <w:rPr>
          <w:rFonts w:ascii="Times New Roman" w:hAnsi="Times New Roman" w:cs="Times New Roman"/>
          <w:color w:val="000000" w:themeColor="text1"/>
        </w:rPr>
        <w:t xml:space="preserve">. </w:t>
      </w:r>
      <w:r w:rsidR="003C4905" w:rsidRPr="006E16EB">
        <w:rPr>
          <w:rFonts w:ascii="Times New Roman" w:hAnsi="Times New Roman" w:cs="Times New Roman"/>
          <w:color w:val="000000" w:themeColor="text1"/>
        </w:rPr>
        <w:t>Bu nedenle p</w:t>
      </w:r>
      <w:r w:rsidRPr="006E16EB">
        <w:rPr>
          <w:rFonts w:ascii="Times New Roman" w:hAnsi="Times New Roman" w:cs="Times New Roman"/>
          <w:color w:val="000000" w:themeColor="text1"/>
        </w:rPr>
        <w:t>antoprazol dahil proton pompası inhibitörleri</w:t>
      </w:r>
      <w:r w:rsidR="003C4905" w:rsidRPr="006E16EB">
        <w:rPr>
          <w:rFonts w:ascii="Times New Roman" w:hAnsi="Times New Roman" w:cs="Times New Roman"/>
          <w:color w:val="000000" w:themeColor="text1"/>
        </w:rPr>
        <w:t>nin</w:t>
      </w:r>
      <w:r w:rsidRPr="006E16EB">
        <w:rPr>
          <w:rFonts w:ascii="Times New Roman" w:hAnsi="Times New Roman" w:cs="Times New Roman"/>
          <w:color w:val="000000" w:themeColor="text1"/>
        </w:rPr>
        <w:t xml:space="preserve"> atazanavir ile birlikte </w:t>
      </w:r>
      <w:r w:rsidR="003C4905" w:rsidRPr="006E16EB">
        <w:rPr>
          <w:rFonts w:ascii="Times New Roman" w:eastAsiaTheme="minorHAnsi" w:hAnsi="Times New Roman" w:cs="Times New Roman"/>
          <w:lang w:eastAsia="en-US"/>
        </w:rPr>
        <w:t xml:space="preserve"> </w:t>
      </w:r>
      <w:r w:rsidR="003C4905" w:rsidRPr="006E16EB">
        <w:rPr>
          <w:rFonts w:ascii="Times New Roman" w:eastAsiaTheme="minorHAnsi" w:hAnsi="Times New Roman" w:cs="Times New Roman"/>
          <w:color w:val="auto"/>
          <w:lang w:eastAsia="en-US"/>
        </w:rPr>
        <w:t>uygulanması tavsiye edilmemektedir (bkz. Bölüm 4.4).</w:t>
      </w:r>
    </w:p>
    <w:p w:rsidR="003C4905" w:rsidRPr="006E16EB" w:rsidRDefault="00101188" w:rsidP="00FA660C">
      <w:pPr>
        <w:pStyle w:val="Default"/>
        <w:tabs>
          <w:tab w:val="left" w:pos="142"/>
        </w:tabs>
        <w:spacing w:line="360" w:lineRule="auto"/>
        <w:jc w:val="both"/>
        <w:rPr>
          <w:rFonts w:ascii="Times New Roman" w:eastAsiaTheme="minorHAnsi" w:hAnsi="Times New Roman" w:cs="Times New Roman"/>
          <w:color w:val="auto"/>
          <w:u w:val="single"/>
          <w:lang w:eastAsia="en-US"/>
        </w:rPr>
      </w:pPr>
      <w:r w:rsidRPr="006E16EB">
        <w:rPr>
          <w:rFonts w:ascii="Times New Roman" w:eastAsiaTheme="minorHAnsi" w:hAnsi="Times New Roman" w:cs="Times New Roman"/>
          <w:color w:val="auto"/>
          <w:u w:val="single"/>
          <w:lang w:eastAsia="en-US"/>
        </w:rPr>
        <w:t>Kumarin antikoagülanları (fenprokumon ve varfarin)</w:t>
      </w:r>
    </w:p>
    <w:p w:rsidR="00101188" w:rsidRPr="006E16EB" w:rsidRDefault="00101188"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Fenprokumon veya varfarin ile birlikte kullanıldığında, klinik farmakokinetik çalışmalarda bir etkileşim gözlenmemiş olmasına rağmen, pazarlama sonrası dönemde Uluslararası Normalizasyon Oranı (UNO) değerlerinde değişiklikle ilgili birkaç vaka rapor edilmiştir. Bu nedenle, kumarin antikoagülanları </w:t>
      </w:r>
      <w:r w:rsidRPr="006E16EB">
        <w:rPr>
          <w:rFonts w:ascii="Times New Roman" w:eastAsiaTheme="minorHAnsi" w:hAnsi="Times New Roman" w:cs="Times New Roman"/>
          <w:lang w:eastAsia="en-US"/>
        </w:rPr>
        <w:t xml:space="preserve"> </w:t>
      </w:r>
      <w:r w:rsidRPr="006E16EB">
        <w:rPr>
          <w:rFonts w:ascii="Times New Roman" w:eastAsiaTheme="minorHAnsi" w:hAnsi="Times New Roman" w:cs="Times New Roman"/>
          <w:color w:val="auto"/>
          <w:lang w:eastAsia="en-US"/>
        </w:rPr>
        <w:t xml:space="preserve">(örn. fenprokumon veya varfarin) </w:t>
      </w:r>
      <w:r w:rsidRPr="006E16EB">
        <w:rPr>
          <w:rFonts w:ascii="Times New Roman" w:hAnsi="Times New Roman" w:cs="Times New Roman"/>
          <w:color w:val="000000" w:themeColor="text1"/>
        </w:rPr>
        <w:t xml:space="preserve">ile tedavi edilen hastalarda, pantoprazol tedavisi başladıktan ve sonlandırıldıktan sonra veya pantoprazolün düzensiz kullanımı sırasında protrombin zamanı/UNO değerlerinin izlenmesi önerilmektedir. </w:t>
      </w:r>
    </w:p>
    <w:p w:rsidR="00101188" w:rsidRPr="006E16EB" w:rsidRDefault="00101188"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Diğer etkileşim çalışmaları:</w:t>
      </w:r>
    </w:p>
    <w:p w:rsidR="00101188"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Pantoprazol sitokrom P450 enzim sistemi </w:t>
      </w:r>
      <w:r w:rsidR="00101188" w:rsidRPr="006E16EB">
        <w:rPr>
          <w:rFonts w:ascii="Times New Roman" w:eastAsiaTheme="minorHAnsi" w:hAnsi="Times New Roman" w:cs="Times New Roman"/>
          <w:color w:val="auto"/>
          <w:lang w:eastAsia="en-US"/>
        </w:rPr>
        <w:t>aracılığı ile büyük ölçüde karaciğerde</w:t>
      </w:r>
      <w:r w:rsidRPr="006E16EB">
        <w:rPr>
          <w:rFonts w:ascii="Times New Roman" w:hAnsi="Times New Roman" w:cs="Times New Roman"/>
          <w:color w:val="000000" w:themeColor="text1"/>
        </w:rPr>
        <w:t xml:space="preserve"> metabolize olur. Ana metabolik yolak CYP2C19 ile demetilasyondur ve diğer metabolik yolaklar CYP3A4 ile oksidayonu içerir. Aynı enzim sistemiyle metabolize olan </w:t>
      </w:r>
      <w:r w:rsidR="00101188" w:rsidRPr="006E16EB">
        <w:rPr>
          <w:rFonts w:ascii="Times New Roman" w:hAnsi="Times New Roman" w:cs="Times New Roman"/>
          <w:color w:val="000000" w:themeColor="text1"/>
        </w:rPr>
        <w:t xml:space="preserve">karbamazepin, diazepam, glibenklamid, nifedipin ve levonorgestrel, ve etinil östradiol içeren bir oral kontraseptifler ile yapılan </w:t>
      </w:r>
      <w:r w:rsidR="00101188" w:rsidRPr="006E16EB">
        <w:rPr>
          <w:rFonts w:ascii="Times New Roman" w:eastAsiaTheme="minorHAnsi" w:hAnsi="Times New Roman" w:cs="Times New Roman"/>
          <w:color w:val="auto"/>
          <w:lang w:eastAsia="en-US"/>
        </w:rPr>
        <w:t>etkileşim çalışmaları, klinik açıdan önemli olan etkileşimlere işaret etmemektedir.</w:t>
      </w:r>
    </w:p>
    <w:p w:rsidR="00101188" w:rsidRPr="006E16EB" w:rsidRDefault="00101188" w:rsidP="00FA660C">
      <w:pPr>
        <w:pStyle w:val="Default"/>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 xml:space="preserve">Bir dizi etkileşim çalışması, pantoprazolün CYP1A2 (kafein, teofilin gibi), CYP2C9 (piroksikam, diklofenak, naproksen gibi), CYP2D6 (metoprolol gibi), CYP2E1 (etanol gibi) ile metabolize olan aktif maddelerin metabolizmasını veya digoksinin p-glikoprotein ile </w:t>
      </w:r>
      <w:r w:rsidRPr="006E16EB">
        <w:rPr>
          <w:rFonts w:ascii="Times New Roman" w:eastAsiaTheme="minorHAnsi" w:hAnsi="Times New Roman" w:cs="Times New Roman"/>
          <w:color w:val="auto"/>
          <w:lang w:eastAsia="en-US"/>
        </w:rPr>
        <w:lastRenderedPageBreak/>
        <w:t>ilişkili emilimini etkilemediğini göstermiştir.</w:t>
      </w:r>
    </w:p>
    <w:p w:rsidR="00101188"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Antasitlerle birlikte verildiğinde etkileşme görülmemiştir. </w:t>
      </w:r>
    </w:p>
    <w:p w:rsidR="00C95123" w:rsidRPr="006E16EB" w:rsidRDefault="00101188" w:rsidP="00543D47">
      <w:pPr>
        <w:pStyle w:val="Default"/>
        <w:tabs>
          <w:tab w:val="left" w:pos="142"/>
        </w:tabs>
        <w:spacing w:line="276" w:lineRule="auto"/>
        <w:contextualSpacing/>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Ayrıca klaritromisin, metronidazol, amoksisilin gibi antibiyotiklerin pantoprazol ile eş zamanlı uygulanmasına dair etkileşim çalışmaları da yapılmıştır. Klinik açıdan önemli etkileşimler gözlenmemiştir.</w:t>
      </w:r>
    </w:p>
    <w:p w:rsidR="00101188" w:rsidRPr="006E16EB" w:rsidRDefault="00101188" w:rsidP="00543D47">
      <w:pPr>
        <w:pStyle w:val="Default"/>
        <w:tabs>
          <w:tab w:val="left" w:pos="142"/>
        </w:tabs>
        <w:contextualSpacing/>
        <w:jc w:val="both"/>
        <w:rPr>
          <w:rFonts w:ascii="Times New Roman" w:hAnsi="Times New Roman" w:cs="Times New Roman"/>
          <w:b/>
          <w:bCs/>
          <w:color w:val="000000" w:themeColor="text1"/>
        </w:rPr>
      </w:pPr>
    </w:p>
    <w:p w:rsidR="00101188"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Özel popülasyonlara ili</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kin ek bilgiler: </w:t>
      </w:r>
    </w:p>
    <w:p w:rsidR="00C95123" w:rsidRPr="006E16EB" w:rsidRDefault="00101188"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 xml:space="preserve">Özel popülasyonlara ilişkin herhangi bir etkileşim çalışması yapılmamıştır. </w:t>
      </w:r>
    </w:p>
    <w:p w:rsidR="00141FF1" w:rsidRPr="006E16EB" w:rsidRDefault="00141FF1"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4.6 Gebelik ve laktasyon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Genel tavsiye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Gebelik kategorisi: B </w:t>
      </w:r>
    </w:p>
    <w:p w:rsidR="008557C9"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Çocuk do</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urma potansiyeli bulunan kadınlar / Do</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um kontrolü (kontrasepsiyon) </w:t>
      </w:r>
    </w:p>
    <w:p w:rsidR="008557C9" w:rsidRPr="006E16EB" w:rsidRDefault="008557C9" w:rsidP="00FA660C">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 xml:space="preserve">Levonorgestrel ve etinil östradiol içeren bir oral kontraseptif ile yapılan spesifik testlerde, klinik açıdan anlamlı bir etkileşme gözlenmemiştir (bkz. Bölüm 4.5)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Gebelik dönemi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Pantoprazolün gebelikte kullanımı ile ilgili klinik deneyim sınırlıdır. </w:t>
      </w:r>
    </w:p>
    <w:p w:rsidR="008557C9"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Hayvanlarda yapılan çalışmalarda üreme toksisitesi gözlenmiştir. </w:t>
      </w:r>
      <w:r w:rsidR="008557C9" w:rsidRPr="006E16EB">
        <w:rPr>
          <w:rFonts w:ascii="Times New Roman" w:eastAsiaTheme="minorHAnsi" w:hAnsi="Times New Roman" w:cs="Times New Roman"/>
          <w:color w:val="auto"/>
          <w:lang w:eastAsia="en-US"/>
        </w:rPr>
        <w:t>(bkz. Bölüm 5.3).</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İnsanlarda potansiyel risk bilinmemektedir. </w:t>
      </w:r>
      <w:r w:rsidR="008557C9" w:rsidRPr="006E16EB">
        <w:rPr>
          <w:rFonts w:ascii="Times New Roman" w:hAnsi="Times New Roman" w:cs="Times New Roman"/>
          <w:color w:val="000000" w:themeColor="text1"/>
        </w:rPr>
        <w:t>PANDEV</w:t>
      </w:r>
      <w:r w:rsidRPr="006E16EB">
        <w:rPr>
          <w:rFonts w:ascii="Times New Roman" w:hAnsi="Times New Roman" w:cs="Times New Roman"/>
          <w:color w:val="000000" w:themeColor="text1"/>
        </w:rPr>
        <w:t xml:space="preserve"> gerekli </w:t>
      </w:r>
      <w:r w:rsidR="008557C9" w:rsidRPr="006E16EB">
        <w:rPr>
          <w:rFonts w:ascii="Times New Roman" w:hAnsi="Times New Roman" w:cs="Times New Roman"/>
          <w:color w:val="000000" w:themeColor="text1"/>
        </w:rPr>
        <w:t>olmadıkça</w:t>
      </w:r>
      <w:r w:rsidRPr="006E16EB">
        <w:rPr>
          <w:rFonts w:ascii="Times New Roman" w:hAnsi="Times New Roman" w:cs="Times New Roman"/>
          <w:color w:val="000000" w:themeColor="text1"/>
        </w:rPr>
        <w:t xml:space="preserve"> gebelerde kullanılmamalıdır.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Hayvanlarda yapılan üreme çalışmalarında, 5 mg/kg üzerindeki dozlarda </w:t>
      </w:r>
      <w:r w:rsidR="008557C9" w:rsidRPr="006E16EB">
        <w:rPr>
          <w:rFonts w:ascii="Times New Roman" w:hAnsi="Times New Roman" w:cs="Times New Roman"/>
          <w:color w:val="000000" w:themeColor="text1"/>
        </w:rPr>
        <w:t>hafif</w:t>
      </w:r>
      <w:r w:rsidRPr="006E16EB">
        <w:rPr>
          <w:rFonts w:ascii="Times New Roman" w:hAnsi="Times New Roman" w:cs="Times New Roman"/>
          <w:color w:val="000000" w:themeColor="text1"/>
        </w:rPr>
        <w:t xml:space="preserve"> düzeyde fetotoksisite </w:t>
      </w:r>
      <w:r w:rsidR="008557C9" w:rsidRPr="006E16EB">
        <w:rPr>
          <w:rFonts w:ascii="Times New Roman" w:hAnsi="Times New Roman" w:cs="Times New Roman"/>
          <w:color w:val="000000" w:themeColor="text1"/>
        </w:rPr>
        <w:t xml:space="preserve">belirtileri gözlenmiştir. </w:t>
      </w:r>
    </w:p>
    <w:p w:rsidR="008557C9" w:rsidRPr="006E16EB" w:rsidRDefault="008557C9"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Gebelerde kullanılırken dikkatli olunmalıdır.</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Laktasyon dönemi </w:t>
      </w:r>
    </w:p>
    <w:p w:rsidR="008557C9"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 çalışmaları pantoprazolün süte geçtiğini göstermiştir. </w:t>
      </w:r>
      <w:r w:rsidR="008557C9" w:rsidRPr="006E16EB">
        <w:rPr>
          <w:rFonts w:ascii="Times New Roman" w:hAnsi="Times New Roman" w:cs="Times New Roman"/>
          <w:color w:val="000000" w:themeColor="text1"/>
        </w:rPr>
        <w:t>Pantoprazolün i</w:t>
      </w:r>
      <w:r w:rsidRPr="006E16EB">
        <w:rPr>
          <w:rFonts w:ascii="Times New Roman" w:hAnsi="Times New Roman" w:cs="Times New Roman"/>
          <w:color w:val="000000" w:themeColor="text1"/>
        </w:rPr>
        <w:t xml:space="preserve">nsan sütüne de geçtiği bildirilmiştir. Emzirmenin devam edilip </w:t>
      </w:r>
      <w:r w:rsidR="008557C9" w:rsidRPr="006E16EB">
        <w:rPr>
          <w:rFonts w:ascii="Times New Roman" w:hAnsi="Times New Roman" w:cs="Times New Roman"/>
          <w:color w:val="000000" w:themeColor="text1"/>
        </w:rPr>
        <w:t>edilmeyeceğine</w:t>
      </w:r>
      <w:r w:rsidRPr="006E16EB">
        <w:rPr>
          <w:rFonts w:ascii="Times New Roman" w:hAnsi="Times New Roman" w:cs="Times New Roman"/>
          <w:color w:val="000000" w:themeColor="text1"/>
        </w:rPr>
        <w:t xml:space="preserve"> veya PANDEV tedavisine devam edilip edilmeyeceğine</w:t>
      </w:r>
      <w:r w:rsidR="008557C9"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emzirmenin çocuğa yararı ve PANDEV tedavisinin anneye y</w:t>
      </w:r>
      <w:r w:rsidR="008557C9" w:rsidRPr="006E16EB">
        <w:rPr>
          <w:rFonts w:ascii="Times New Roman" w:hAnsi="Times New Roman" w:cs="Times New Roman"/>
          <w:color w:val="000000" w:themeColor="text1"/>
        </w:rPr>
        <w:t>ararı açısından değerlendirme yapıldıktan sonra</w:t>
      </w:r>
      <w:r w:rsidRPr="006E16EB">
        <w:rPr>
          <w:rFonts w:ascii="Times New Roman" w:hAnsi="Times New Roman" w:cs="Times New Roman"/>
          <w:color w:val="000000" w:themeColor="text1"/>
        </w:rPr>
        <w:t xml:space="preserve"> karar verilmelidir.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Bebeğini emziren annelerde </w:t>
      </w:r>
      <w:r w:rsidR="008557C9" w:rsidRPr="006E16EB">
        <w:rPr>
          <w:rFonts w:ascii="Times New Roman" w:hAnsi="Times New Roman" w:cs="Times New Roman"/>
          <w:color w:val="000000" w:themeColor="text1"/>
        </w:rPr>
        <w:t xml:space="preserve">pantoprazol </w:t>
      </w:r>
      <w:r w:rsidRPr="006E16EB">
        <w:rPr>
          <w:rFonts w:ascii="Times New Roman" w:hAnsi="Times New Roman" w:cs="Times New Roman"/>
          <w:color w:val="000000" w:themeColor="text1"/>
        </w:rPr>
        <w:t>ancak, anneye olan yararı</w:t>
      </w:r>
      <w:r w:rsidR="008557C9"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bebek üzerindeki potansiyel riskten fazla ise kullanılmalıdır.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Üreme yetene</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i / Fertilite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İnsanlarda fertilitenin bozulmasına veya teratojen etkiye ilişkin herhangi bir kanıt bulunmamıştır.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Hayvanlarda yapılan üreme çalışmalarında 5mg/kg'nın üzerinde </w:t>
      </w:r>
      <w:r w:rsidR="008557C9" w:rsidRPr="006E16EB">
        <w:rPr>
          <w:rFonts w:ascii="Times New Roman" w:hAnsi="Times New Roman" w:cs="Times New Roman"/>
          <w:color w:val="000000" w:themeColor="text1"/>
        </w:rPr>
        <w:t xml:space="preserve">dozlarda </w:t>
      </w:r>
      <w:r w:rsidRPr="006E16EB">
        <w:rPr>
          <w:rFonts w:ascii="Times New Roman" w:hAnsi="Times New Roman" w:cs="Times New Roman"/>
          <w:color w:val="000000" w:themeColor="text1"/>
        </w:rPr>
        <w:t xml:space="preserve">hafif </w:t>
      </w:r>
      <w:r w:rsidR="008557C9" w:rsidRPr="006E16EB">
        <w:rPr>
          <w:rFonts w:ascii="Times New Roman" w:hAnsi="Times New Roman" w:cs="Times New Roman"/>
          <w:color w:val="000000" w:themeColor="text1"/>
        </w:rPr>
        <w:t xml:space="preserve">düzeyde </w:t>
      </w:r>
      <w:r w:rsidRPr="006E16EB">
        <w:rPr>
          <w:rFonts w:ascii="Times New Roman" w:hAnsi="Times New Roman" w:cs="Times New Roman"/>
          <w:color w:val="000000" w:themeColor="text1"/>
        </w:rPr>
        <w:t xml:space="preserve">fetotoksisite </w:t>
      </w:r>
      <w:r w:rsidR="008557C9" w:rsidRPr="006E16EB">
        <w:rPr>
          <w:rFonts w:ascii="Times New Roman" w:hAnsi="Times New Roman" w:cs="Times New Roman"/>
          <w:color w:val="000000" w:themeColor="text1"/>
        </w:rPr>
        <w:t>belirtileri</w:t>
      </w:r>
      <w:r w:rsidRPr="006E16EB">
        <w:rPr>
          <w:rFonts w:ascii="Times New Roman" w:hAnsi="Times New Roman" w:cs="Times New Roman"/>
          <w:color w:val="000000" w:themeColor="text1"/>
        </w:rPr>
        <w:t xml:space="preserve"> gözlenmiştir. </w:t>
      </w:r>
      <w:r w:rsidR="008557C9" w:rsidRPr="006E16EB">
        <w:rPr>
          <w:rFonts w:ascii="Times New Roman" w:hAnsi="Times New Roman" w:cs="Times New Roman"/>
          <w:color w:val="000000" w:themeColor="text1"/>
        </w:rPr>
        <w:t>Fertilite</w:t>
      </w:r>
      <w:r w:rsidRPr="006E16EB">
        <w:rPr>
          <w:rFonts w:ascii="Times New Roman" w:hAnsi="Times New Roman" w:cs="Times New Roman"/>
          <w:color w:val="000000" w:themeColor="text1"/>
        </w:rPr>
        <w:t xml:space="preserve"> </w:t>
      </w:r>
      <w:r w:rsidR="008557C9" w:rsidRPr="006E16EB">
        <w:rPr>
          <w:rFonts w:ascii="Times New Roman" w:hAnsi="Times New Roman" w:cs="Times New Roman"/>
          <w:color w:val="000000" w:themeColor="text1"/>
        </w:rPr>
        <w:t>kaybı ya da teratojenite ile ilgili</w:t>
      </w:r>
      <w:r w:rsidRPr="006E16EB">
        <w:rPr>
          <w:rFonts w:ascii="Times New Roman" w:hAnsi="Times New Roman" w:cs="Times New Roman"/>
          <w:color w:val="000000" w:themeColor="text1"/>
        </w:rPr>
        <w:t xml:space="preserve"> bir bulgu yoktur (bkz. bölüm 5.3).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lastRenderedPageBreak/>
        <w:t xml:space="preserve">4.7 Araç ve makine kullanımı üzerindeki etkiler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Baş dönmesi ve görsel bozukluklar gibi advers ilaç etkileşimleri gözlenebilir. (bkz. bölüm 4.8) Bu advers olayların görülmesi durumunda hasta araç veya makine kullanmamalıdır. </w:t>
      </w:r>
    </w:p>
    <w:p w:rsidR="008269AF" w:rsidRPr="006E16EB" w:rsidRDefault="008269AF"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4.8 İstenmeyen etkiler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Hastaların yaklaşık %5’inin advers ilaç reaksiyonları yaşadığı tahmin edilmektedir. En fazla bildirilen advers reaksiyonlar diyare ve baş ağrısıdır, her iki durum da hastaların yaklaşık %1’inde gözlenmiştir.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Sistem organ sınıfına göre aşağıda listelenen istenmeyen olayların sıklık dereceleri şu şekilde tanımlanmıştır: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Çok yaygın (≥1/10); yaygın (≥1/100 ila &lt;1/10); yaygın olmayan (≥1/1,000 ila &lt;1/100); seyrek (≥1/10,000 ila &lt;1/1,000); çok seyrek (&lt;1/10,000); bilinmiyor (eldeki verilerden hareketle tahmin edilemiyor) </w:t>
      </w:r>
    </w:p>
    <w:p w:rsidR="00F50E1C" w:rsidRPr="006E16EB" w:rsidRDefault="00F50E1C" w:rsidP="00FA660C">
      <w:pPr>
        <w:pStyle w:val="Default"/>
        <w:tabs>
          <w:tab w:val="left" w:pos="142"/>
        </w:tabs>
        <w:spacing w:line="360" w:lineRule="auto"/>
        <w:jc w:val="both"/>
        <w:rPr>
          <w:rFonts w:ascii="Times New Roman" w:hAnsi="Times New Roman" w:cs="Times New Roman"/>
          <w:color w:val="000000" w:themeColor="text1"/>
        </w:rPr>
      </w:pPr>
    </w:p>
    <w:tbl>
      <w:tblPr>
        <w:tblStyle w:val="TabloKlavuzu"/>
        <w:tblW w:w="9747" w:type="dxa"/>
        <w:jc w:val="center"/>
        <w:tblLayout w:type="fixed"/>
        <w:tblLook w:val="04A0"/>
      </w:tblPr>
      <w:tblGrid>
        <w:gridCol w:w="1951"/>
        <w:gridCol w:w="992"/>
        <w:gridCol w:w="1560"/>
        <w:gridCol w:w="1701"/>
        <w:gridCol w:w="1701"/>
        <w:gridCol w:w="1842"/>
      </w:tblGrid>
      <w:tr w:rsidR="00C95123" w:rsidRPr="006E16EB" w:rsidTr="00543D47">
        <w:trPr>
          <w:jc w:val="center"/>
        </w:trPr>
        <w:tc>
          <w:tcPr>
            <w:tcW w:w="1951" w:type="dxa"/>
          </w:tcPr>
          <w:p w:rsidR="00C95123" w:rsidRPr="006E16EB" w:rsidRDefault="00545174" w:rsidP="00FA660C">
            <w:pPr>
              <w:pStyle w:val="Default"/>
              <w:tabs>
                <w:tab w:val="left" w:pos="142"/>
              </w:tabs>
              <w:spacing w:line="36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1026" type="#_x0000_t32" style="position:absolute;left:0;text-align:left;margin-left:-5.8pt;margin-top:-.7pt;width:97.9pt;height:82.95pt;z-index:251658240" o:connectortype="straight"/>
              </w:pict>
            </w:r>
            <w:r w:rsidR="00C95123" w:rsidRPr="006E16EB">
              <w:rPr>
                <w:rFonts w:ascii="Times New Roman" w:hAnsi="Times New Roman" w:cs="Times New Roman"/>
                <w:color w:val="000000" w:themeColor="text1"/>
              </w:rPr>
              <w:t xml:space="preserve">              Sıklık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p w:rsidR="0076541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Organ </w:t>
            </w:r>
          </w:p>
          <w:p w:rsidR="00C95123" w:rsidRPr="006E16EB" w:rsidRDefault="00F50E1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Sistemi</w:t>
            </w:r>
          </w:p>
        </w:tc>
        <w:tc>
          <w:tcPr>
            <w:tcW w:w="992"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Yaygın (≥1/100 &lt;1/10)</w:t>
            </w:r>
          </w:p>
        </w:tc>
        <w:tc>
          <w:tcPr>
            <w:tcW w:w="1560"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Yaygın olmayan (≥1/1,000 &lt;1/100)</w:t>
            </w:r>
          </w:p>
        </w:tc>
        <w:tc>
          <w:tcPr>
            <w:tcW w:w="1701"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Seyrek (≥1/10,000 &lt;1/1,000)</w:t>
            </w:r>
          </w:p>
        </w:tc>
        <w:tc>
          <w:tcPr>
            <w:tcW w:w="1701" w:type="dxa"/>
          </w:tcPr>
          <w:p w:rsidR="00FA660C"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Çok Seyrek (&lt;1/10,000, </w:t>
            </w:r>
          </w:p>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izole raporlar dahil)</w:t>
            </w:r>
          </w:p>
        </w:tc>
        <w:tc>
          <w:tcPr>
            <w:tcW w:w="1842"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Bilinmiyor</w:t>
            </w: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Kan ve lenf sistemi hastalıkları </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FA660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Agranülositoz</w:t>
            </w:r>
          </w:p>
        </w:tc>
        <w:tc>
          <w:tcPr>
            <w:tcW w:w="1701" w:type="dxa"/>
          </w:tcPr>
          <w:p w:rsidR="00C95123" w:rsidRPr="006E16EB" w:rsidRDefault="00FA660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Trombositopeni </w:t>
            </w:r>
            <w:r w:rsidR="00C95123" w:rsidRPr="006E16EB">
              <w:rPr>
                <w:rFonts w:ascii="Times New Roman" w:hAnsi="Times New Roman" w:cs="Times New Roman"/>
                <w:color w:val="000000" w:themeColor="text1"/>
              </w:rPr>
              <w:t xml:space="preserve">Lökopeni; </w:t>
            </w:r>
          </w:p>
          <w:p w:rsidR="00FA660C" w:rsidRPr="006E16EB" w:rsidRDefault="00FA660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Pansitopeni </w:t>
            </w: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Bağışıklık sistemi hastalıkları</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Aşırı duyarlılık (</w:t>
            </w:r>
            <w:r w:rsidR="00C95123" w:rsidRPr="006E16EB">
              <w:rPr>
                <w:rFonts w:ascii="Times New Roman" w:hAnsi="Times New Roman" w:cs="Times New Roman"/>
                <w:color w:val="000000" w:themeColor="text1"/>
              </w:rPr>
              <w:t>Anaflaktik şok ve anaflaktik reaksiyonlar dahil</w:t>
            </w:r>
            <w:r w:rsidRPr="006E16EB">
              <w:rPr>
                <w:rFonts w:ascii="Times New Roman" w:hAnsi="Times New Roman" w:cs="Times New Roman"/>
                <w:color w:val="000000" w:themeColor="text1"/>
              </w:rPr>
              <w:t>)</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Metabolizma ve beslenme hastalıkları</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Hiperlipidemi ve lipid artışı (trigliseridler, kolesterol), kilo değişiklikleri</w:t>
            </w:r>
          </w:p>
          <w:p w:rsidR="00543D47" w:rsidRDefault="00543D47" w:rsidP="00FA660C">
            <w:pPr>
              <w:pStyle w:val="Default"/>
              <w:tabs>
                <w:tab w:val="left" w:pos="142"/>
              </w:tabs>
              <w:spacing w:line="360" w:lineRule="auto"/>
              <w:jc w:val="both"/>
              <w:rPr>
                <w:rFonts w:ascii="Times New Roman" w:hAnsi="Times New Roman" w:cs="Times New Roman"/>
                <w:color w:val="000000" w:themeColor="text1"/>
              </w:rPr>
            </w:pPr>
          </w:p>
          <w:p w:rsidR="00543D47" w:rsidRPr="006E16EB" w:rsidRDefault="00543D47"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Hiponatremi</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Hipomagnezemi (bkz Bölüm 4.4.)</w:t>
            </w: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lastRenderedPageBreak/>
              <w:t>Psikiyatrik hastalıklar</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Uyku bozuklukları</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Depresyon </w:t>
            </w:r>
            <w:r w:rsidR="00FA660C" w:rsidRPr="006E16EB">
              <w:rPr>
                <w:rFonts w:ascii="Times New Roman" w:hAnsi="Times New Roman" w:cs="Times New Roman"/>
                <w:color w:val="000000" w:themeColor="text1"/>
              </w:rPr>
              <w:t>(ve daha kötüleşmesi)</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Dezoriyentas</w:t>
            </w:r>
            <w:r w:rsidR="00FA660C"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yon</w:t>
            </w:r>
            <w:r w:rsidR="00FA660C" w:rsidRPr="006E16EB">
              <w:rPr>
                <w:rFonts w:ascii="Times New Roman" w:hAnsi="Times New Roman" w:cs="Times New Roman"/>
                <w:color w:val="000000" w:themeColor="text1"/>
              </w:rPr>
              <w:t xml:space="preserve"> (ve daha kötüleşmesi)</w:t>
            </w:r>
            <w:r w:rsidRPr="006E16EB">
              <w:rPr>
                <w:rFonts w:ascii="Times New Roman" w:hAnsi="Times New Roman" w:cs="Times New Roman"/>
                <w:color w:val="000000" w:themeColor="text1"/>
              </w:rPr>
              <w:t xml:space="preserve"> </w:t>
            </w: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Halüsinasyon;</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Konfüzyon (özellikle predispoze hastalarda</w:t>
            </w:r>
            <w:r w:rsidR="00FA660C" w:rsidRPr="006E16EB">
              <w:rPr>
                <w:rFonts w:ascii="Times New Roman" w:hAnsi="Times New Roman" w:cs="Times New Roman"/>
                <w:color w:val="000000" w:themeColor="text1"/>
              </w:rPr>
              <w:t>; daha önceden mevcut ise daha da kötüleşmesi</w:t>
            </w:r>
            <w:r w:rsidRPr="006E16EB">
              <w:rPr>
                <w:rFonts w:ascii="Times New Roman" w:hAnsi="Times New Roman" w:cs="Times New Roman"/>
                <w:color w:val="000000" w:themeColor="text1"/>
              </w:rPr>
              <w:t>)</w:t>
            </w: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Sinir sistemi hastalıkları </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Baş dönmesi; Baş ağrısı, </w:t>
            </w:r>
          </w:p>
        </w:tc>
        <w:tc>
          <w:tcPr>
            <w:tcW w:w="1701" w:type="dxa"/>
          </w:tcPr>
          <w:p w:rsidR="00C95123"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Tat alma bozuklukları</w:t>
            </w:r>
          </w:p>
        </w:tc>
        <w:tc>
          <w:tcPr>
            <w:tcW w:w="1701" w:type="dxa"/>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Göz hastalıkları </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Görme bozuklukları (bulanık görme) </w:t>
            </w:r>
          </w:p>
        </w:tc>
        <w:tc>
          <w:tcPr>
            <w:tcW w:w="1701" w:type="dxa"/>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543D47">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Gastrointestinal</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hastalıklar</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Bulantı</w:t>
            </w:r>
            <w:r w:rsidR="00FA660C" w:rsidRPr="006E16EB">
              <w:rPr>
                <w:rFonts w:ascii="Times New Roman" w:hAnsi="Times New Roman" w:cs="Times New Roman"/>
                <w:color w:val="000000" w:themeColor="text1"/>
              </w:rPr>
              <w:t>/Kus-</w:t>
            </w:r>
            <w:r w:rsidRPr="006E16EB">
              <w:rPr>
                <w:rFonts w:ascii="Times New Roman" w:hAnsi="Times New Roman" w:cs="Times New Roman"/>
                <w:color w:val="000000" w:themeColor="text1"/>
              </w:rPr>
              <w:t xml:space="preserve">ma, </w:t>
            </w:r>
            <w:r w:rsidR="00FA660C" w:rsidRPr="006E16EB">
              <w:rPr>
                <w:rFonts w:ascii="Times New Roman" w:hAnsi="Times New Roman" w:cs="Times New Roman"/>
                <w:color w:val="000000" w:themeColor="text1"/>
              </w:rPr>
              <w:t xml:space="preserve">abdominal ağrı ve </w:t>
            </w:r>
            <w:r w:rsidRPr="006E16EB">
              <w:rPr>
                <w:rFonts w:ascii="Times New Roman" w:hAnsi="Times New Roman" w:cs="Times New Roman"/>
                <w:color w:val="000000" w:themeColor="text1"/>
              </w:rPr>
              <w:t>rahatsızlık</w:t>
            </w:r>
            <w:r w:rsidR="00FA660C"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w:t>
            </w:r>
            <w:r w:rsidR="00FA660C" w:rsidRPr="006E16EB">
              <w:rPr>
                <w:rFonts w:ascii="Times New Roman" w:hAnsi="Times New Roman" w:cs="Times New Roman"/>
                <w:color w:val="000000" w:themeColor="text1"/>
              </w:rPr>
              <w:t>Konstipasyon Ağız kuruluğu Abdominal gerginlik ve şişkinlik Diyare</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FA660C" w:rsidRPr="006E16EB" w:rsidTr="00543D47">
        <w:trPr>
          <w:trHeight w:val="2080"/>
          <w:jc w:val="center"/>
        </w:trPr>
        <w:tc>
          <w:tcPr>
            <w:tcW w:w="1951"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Hepatobiliyer </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hastalıklar </w:t>
            </w:r>
          </w:p>
        </w:tc>
        <w:tc>
          <w:tcPr>
            <w:tcW w:w="992"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p>
        </w:tc>
        <w:tc>
          <w:tcPr>
            <w:tcW w:w="1560"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Karaciğer </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enzimlerinde artış (transaminaz</w:t>
            </w:r>
            <w:r w:rsidR="004B1856"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lar, γ-GT) </w:t>
            </w:r>
          </w:p>
        </w:tc>
        <w:tc>
          <w:tcPr>
            <w:tcW w:w="1701"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Billirubin artışı </w:t>
            </w:r>
          </w:p>
        </w:tc>
        <w:tc>
          <w:tcPr>
            <w:tcW w:w="1701"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p>
        </w:tc>
        <w:tc>
          <w:tcPr>
            <w:tcW w:w="1842"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Hepatoselüler hasar, </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sarılık, hepatoselüler yetmezlik </w:t>
            </w:r>
          </w:p>
        </w:tc>
      </w:tr>
    </w:tbl>
    <w:p w:rsidR="00141FF1" w:rsidRDefault="00141FF1" w:rsidP="00FA660C">
      <w:pPr>
        <w:pStyle w:val="Default"/>
        <w:tabs>
          <w:tab w:val="left" w:pos="142"/>
        </w:tabs>
        <w:spacing w:line="360" w:lineRule="auto"/>
        <w:jc w:val="both"/>
        <w:rPr>
          <w:rFonts w:ascii="Times New Roman" w:hAnsi="Times New Roman" w:cs="Times New Roman"/>
          <w:color w:val="000000" w:themeColor="text1"/>
        </w:rPr>
      </w:pPr>
    </w:p>
    <w:p w:rsidR="00543D47" w:rsidRDefault="00543D47" w:rsidP="00FA660C">
      <w:pPr>
        <w:pStyle w:val="Default"/>
        <w:tabs>
          <w:tab w:val="left" w:pos="142"/>
        </w:tabs>
        <w:spacing w:line="360" w:lineRule="auto"/>
        <w:jc w:val="both"/>
        <w:rPr>
          <w:rFonts w:ascii="Times New Roman" w:hAnsi="Times New Roman" w:cs="Times New Roman"/>
          <w:color w:val="000000" w:themeColor="text1"/>
        </w:rPr>
      </w:pPr>
    </w:p>
    <w:p w:rsidR="00543D47" w:rsidRPr="006E16EB" w:rsidRDefault="00543D47" w:rsidP="00FA660C">
      <w:pPr>
        <w:pStyle w:val="Default"/>
        <w:tabs>
          <w:tab w:val="left" w:pos="142"/>
        </w:tabs>
        <w:spacing w:line="360" w:lineRule="auto"/>
        <w:jc w:val="both"/>
        <w:rPr>
          <w:rFonts w:ascii="Times New Roman" w:hAnsi="Times New Roman" w:cs="Times New Roman"/>
          <w:color w:val="000000" w:themeColor="text1"/>
        </w:rPr>
      </w:pPr>
    </w:p>
    <w:tbl>
      <w:tblPr>
        <w:tblW w:w="9747" w:type="dxa"/>
        <w:jc w:val="center"/>
        <w:tblBorders>
          <w:top w:val="nil"/>
          <w:left w:val="nil"/>
          <w:bottom w:val="nil"/>
          <w:right w:val="nil"/>
        </w:tblBorders>
        <w:tblLayout w:type="fixed"/>
        <w:tblLook w:val="0000"/>
      </w:tblPr>
      <w:tblGrid>
        <w:gridCol w:w="1951"/>
        <w:gridCol w:w="992"/>
        <w:gridCol w:w="1560"/>
        <w:gridCol w:w="1701"/>
        <w:gridCol w:w="1701"/>
        <w:gridCol w:w="1842"/>
      </w:tblGrid>
      <w:tr w:rsidR="00C95123" w:rsidRPr="006E16EB" w:rsidTr="00543D47">
        <w:trPr>
          <w:trHeight w:val="128"/>
          <w:jc w:val="center"/>
        </w:trPr>
        <w:tc>
          <w:tcPr>
            <w:tcW w:w="1951" w:type="dxa"/>
            <w:tcBorders>
              <w:top w:val="single" w:sz="6" w:space="0" w:color="000000"/>
              <w:left w:val="single" w:sz="4" w:space="0" w:color="000000"/>
              <w:right w:val="single" w:sz="4" w:space="0" w:color="000000"/>
            </w:tcBorders>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lastRenderedPageBreak/>
              <w:t xml:space="preserve">Deri ve derialtı </w:t>
            </w:r>
          </w:p>
        </w:tc>
        <w:tc>
          <w:tcPr>
            <w:tcW w:w="992" w:type="dxa"/>
            <w:tcBorders>
              <w:top w:val="single" w:sz="6" w:space="0" w:color="000000"/>
              <w:left w:val="single" w:sz="4"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right w:val="single" w:sz="4" w:space="0" w:color="000000"/>
            </w:tcBorders>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Kaşıntı, </w:t>
            </w:r>
          </w:p>
        </w:tc>
        <w:tc>
          <w:tcPr>
            <w:tcW w:w="1701" w:type="dxa"/>
            <w:tcBorders>
              <w:top w:val="single" w:sz="6" w:space="0" w:color="000000"/>
              <w:left w:val="single" w:sz="4"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Ürtiker; </w:t>
            </w:r>
          </w:p>
        </w:tc>
        <w:tc>
          <w:tcPr>
            <w:tcW w:w="1701" w:type="dxa"/>
            <w:tcBorders>
              <w:top w:val="single" w:sz="6" w:space="0" w:color="000000"/>
              <w:left w:val="single" w:sz="4"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right w:val="single" w:sz="4" w:space="0" w:color="000000"/>
            </w:tcBorders>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Stevens-Johnson </w:t>
            </w:r>
          </w:p>
        </w:tc>
      </w:tr>
      <w:tr w:rsidR="00C95123" w:rsidRPr="006E16EB" w:rsidTr="00543D47">
        <w:trPr>
          <w:trHeight w:val="653"/>
          <w:jc w:val="center"/>
        </w:trPr>
        <w:tc>
          <w:tcPr>
            <w:tcW w:w="1951"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dokusu hastalıkları </w:t>
            </w:r>
          </w:p>
        </w:tc>
        <w:tc>
          <w:tcPr>
            <w:tcW w:w="992"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left w:val="single" w:sz="4" w:space="0" w:color="000000"/>
              <w:bottom w:val="single" w:sz="6" w:space="0" w:color="000000"/>
              <w:right w:val="single" w:sz="4" w:space="0" w:color="000000"/>
            </w:tcBorders>
          </w:tcPr>
          <w:p w:rsidR="004B1856"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ekzantem ve deri döküntüsü gibi alerjik reaksiyonlar</w:t>
            </w:r>
            <w:r w:rsidR="004B1856" w:rsidRPr="006E16EB">
              <w:rPr>
                <w:rFonts w:ascii="Times New Roman" w:hAnsi="Times New Roman" w:cs="Times New Roman"/>
                <w:color w:val="000000" w:themeColor="text1"/>
              </w:rPr>
              <w:t>,</w:t>
            </w:r>
          </w:p>
          <w:p w:rsidR="00C95123" w:rsidRPr="006E16EB" w:rsidRDefault="004B1856"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Prurit</w:t>
            </w:r>
            <w:r w:rsidR="00C95123" w:rsidRPr="006E16EB">
              <w:rPr>
                <w:rFonts w:ascii="Times New Roman" w:hAnsi="Times New Roman" w:cs="Times New Roman"/>
                <w:color w:val="000000" w:themeColor="text1"/>
              </w:rPr>
              <w:t xml:space="preserve"> </w:t>
            </w:r>
          </w:p>
        </w:tc>
        <w:tc>
          <w:tcPr>
            <w:tcW w:w="1701"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Anjiyoödem; </w:t>
            </w:r>
          </w:p>
        </w:tc>
        <w:tc>
          <w:tcPr>
            <w:tcW w:w="1701"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sendromu, Lyell sendromu, Erythema multiform, fotosensitivite </w:t>
            </w:r>
          </w:p>
        </w:tc>
      </w:tr>
      <w:tr w:rsidR="00C95123" w:rsidRPr="006E16EB" w:rsidTr="00543D47">
        <w:trPr>
          <w:trHeight w:val="263"/>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Kas-iskelet, bağ dokusu hastalıkları </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4B1856"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Kalça, el bileği ve omurga kırığı, (bkz Bölüm 4.4)</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Artralji, Miyalji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543D47">
        <w:trPr>
          <w:trHeight w:val="265"/>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Böbrek ve idrar hastalıkları </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intestisyel nefrit </w:t>
            </w:r>
          </w:p>
        </w:tc>
      </w:tr>
      <w:tr w:rsidR="00C95123" w:rsidRPr="006E16EB" w:rsidTr="00543D47">
        <w:trPr>
          <w:trHeight w:val="263"/>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Üreme sistemi ve meme hastalıkları </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Jinekomasti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543D47">
        <w:trPr>
          <w:trHeight w:val="523"/>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Genel bozukluklar ve uygulama yerine özgü </w:t>
            </w:r>
            <w:r w:rsidR="004B1856" w:rsidRPr="006E16EB">
              <w:rPr>
                <w:rFonts w:ascii="Times New Roman" w:hAnsi="Times New Roman" w:cs="Times New Roman"/>
                <w:color w:val="000000" w:themeColor="text1"/>
              </w:rPr>
              <w:t>rahatsızlıklar</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Halsizlik, yorgunluk ve keyifsizlik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Vücut sıcaklığında artış</w:t>
            </w:r>
            <w:r w:rsidR="004B1856"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Periferik ödem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bl>
    <w:p w:rsidR="00A70D85" w:rsidRDefault="00A70D85" w:rsidP="00A70D85">
      <w:pPr>
        <w:pStyle w:val="Default"/>
        <w:tabs>
          <w:tab w:val="left" w:pos="142"/>
        </w:tabs>
        <w:jc w:val="both"/>
        <w:rPr>
          <w:rFonts w:ascii="Times New Roman" w:hAnsi="Times New Roman" w:cs="Times New Roman"/>
          <w:b/>
          <w:bCs/>
          <w:i/>
          <w:iCs/>
          <w:color w:val="000000" w:themeColor="text1"/>
        </w:rPr>
      </w:pPr>
    </w:p>
    <w:p w:rsidR="00A70D85" w:rsidRPr="00A70D85" w:rsidRDefault="00A70D85" w:rsidP="00A70D85">
      <w:pPr>
        <w:tabs>
          <w:tab w:val="left" w:pos="142"/>
          <w:tab w:val="left" w:pos="284"/>
          <w:tab w:val="left" w:pos="426"/>
        </w:tabs>
        <w:spacing w:after="0" w:line="360" w:lineRule="auto"/>
        <w:jc w:val="both"/>
        <w:rPr>
          <w:rFonts w:ascii="Times New Roman" w:hAnsi="Times New Roman"/>
          <w:color w:val="0070C0"/>
          <w:sz w:val="24"/>
          <w:szCs w:val="24"/>
          <w:u w:val="single"/>
          <w:lang w:eastAsia="nl-NL"/>
        </w:rPr>
      </w:pPr>
      <w:r w:rsidRPr="00A70D85">
        <w:rPr>
          <w:rFonts w:ascii="Times New Roman" w:hAnsi="Times New Roman" w:hint="eastAsia"/>
          <w:color w:val="0070C0"/>
          <w:sz w:val="24"/>
          <w:szCs w:val="24"/>
          <w:u w:val="single"/>
          <w:lang w:eastAsia="nl-NL"/>
        </w:rPr>
        <w:t>Ş</w:t>
      </w:r>
      <w:r w:rsidRPr="00A70D85">
        <w:rPr>
          <w:rFonts w:ascii="Times New Roman" w:hAnsi="Times New Roman"/>
          <w:color w:val="0070C0"/>
          <w:sz w:val="24"/>
          <w:szCs w:val="24"/>
          <w:u w:val="single"/>
          <w:lang w:eastAsia="nl-NL"/>
        </w:rPr>
        <w:t>üpheli advers reaksiyonlar</w:t>
      </w:r>
      <w:r w:rsidRPr="00A70D85">
        <w:rPr>
          <w:rFonts w:ascii="Times New Roman" w:hAnsi="Times New Roman" w:hint="eastAsia"/>
          <w:color w:val="0070C0"/>
          <w:sz w:val="24"/>
          <w:szCs w:val="24"/>
          <w:u w:val="single"/>
          <w:lang w:eastAsia="nl-NL"/>
        </w:rPr>
        <w:t>ı</w:t>
      </w:r>
      <w:r w:rsidRPr="00A70D85">
        <w:rPr>
          <w:rFonts w:ascii="Times New Roman" w:hAnsi="Times New Roman"/>
          <w:color w:val="0070C0"/>
          <w:sz w:val="24"/>
          <w:szCs w:val="24"/>
          <w:u w:val="single"/>
          <w:lang w:eastAsia="nl-NL"/>
        </w:rPr>
        <w:t>n raporlanmas</w:t>
      </w:r>
      <w:r w:rsidRPr="00A70D85">
        <w:rPr>
          <w:rFonts w:ascii="Times New Roman" w:hAnsi="Times New Roman" w:hint="eastAsia"/>
          <w:color w:val="0070C0"/>
          <w:sz w:val="24"/>
          <w:szCs w:val="24"/>
          <w:u w:val="single"/>
          <w:lang w:eastAsia="nl-NL"/>
        </w:rPr>
        <w:t>ı</w:t>
      </w:r>
    </w:p>
    <w:p w:rsidR="00A70D85" w:rsidRPr="00A70D85" w:rsidRDefault="00A70D85" w:rsidP="00A70D85">
      <w:pPr>
        <w:tabs>
          <w:tab w:val="left" w:pos="142"/>
          <w:tab w:val="left" w:pos="284"/>
          <w:tab w:val="left" w:pos="426"/>
        </w:tabs>
        <w:spacing w:after="0" w:line="360" w:lineRule="auto"/>
        <w:jc w:val="both"/>
        <w:rPr>
          <w:rFonts w:ascii="Times New Roman" w:hAnsi="Times New Roman"/>
          <w:color w:val="0070C0"/>
          <w:sz w:val="24"/>
          <w:szCs w:val="24"/>
          <w:lang w:eastAsia="nl-NL"/>
        </w:rPr>
      </w:pPr>
      <w:r w:rsidRPr="00A70D85">
        <w:rPr>
          <w:rFonts w:ascii="Times New Roman" w:hAnsi="Times New Roman"/>
          <w:color w:val="0070C0"/>
          <w:sz w:val="24"/>
          <w:szCs w:val="24"/>
          <w:lang w:eastAsia="nl-NL"/>
        </w:rPr>
        <w:t>Ruhsatland</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rma sonras</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 xml:space="preserve"> </w:t>
      </w:r>
      <w:r w:rsidRPr="00A70D85">
        <w:rPr>
          <w:rFonts w:ascii="Times New Roman" w:hAnsi="Times New Roman" w:hint="eastAsia"/>
          <w:color w:val="0070C0"/>
          <w:sz w:val="24"/>
          <w:szCs w:val="24"/>
          <w:lang w:eastAsia="nl-NL"/>
        </w:rPr>
        <w:t>ş</w:t>
      </w:r>
      <w:r w:rsidRPr="00A70D85">
        <w:rPr>
          <w:rFonts w:ascii="Times New Roman" w:hAnsi="Times New Roman"/>
          <w:color w:val="0070C0"/>
          <w:sz w:val="24"/>
          <w:szCs w:val="24"/>
          <w:lang w:eastAsia="nl-NL"/>
        </w:rPr>
        <w:t>üpheli ilaç advers reaksiyonlar</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n</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n raporlanmas</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 xml:space="preserve"> büyük önem ta</w:t>
      </w:r>
      <w:r w:rsidRPr="00A70D85">
        <w:rPr>
          <w:rFonts w:ascii="Times New Roman" w:hAnsi="Times New Roman" w:hint="eastAsia"/>
          <w:color w:val="0070C0"/>
          <w:sz w:val="24"/>
          <w:szCs w:val="24"/>
          <w:lang w:eastAsia="nl-NL"/>
        </w:rPr>
        <w:t>şı</w:t>
      </w:r>
      <w:r w:rsidRPr="00A70D85">
        <w:rPr>
          <w:rFonts w:ascii="Times New Roman" w:hAnsi="Times New Roman"/>
          <w:color w:val="0070C0"/>
          <w:sz w:val="24"/>
          <w:szCs w:val="24"/>
          <w:lang w:eastAsia="nl-NL"/>
        </w:rPr>
        <w:t>maktad</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r. Raporlama yap</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lmas</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 ilac</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n yarar/risk dengesinin sürekli olarak izlenmesine olanak sa</w:t>
      </w:r>
      <w:r w:rsidRPr="00A70D85">
        <w:rPr>
          <w:rFonts w:ascii="Times New Roman" w:hAnsi="Times New Roman" w:hint="eastAsia"/>
          <w:color w:val="0070C0"/>
          <w:sz w:val="24"/>
          <w:szCs w:val="24"/>
          <w:lang w:eastAsia="nl-NL"/>
        </w:rPr>
        <w:t>ğ</w:t>
      </w:r>
      <w:r w:rsidRPr="00A70D85">
        <w:rPr>
          <w:rFonts w:ascii="Times New Roman" w:hAnsi="Times New Roman"/>
          <w:color w:val="0070C0"/>
          <w:sz w:val="24"/>
          <w:szCs w:val="24"/>
          <w:lang w:eastAsia="nl-NL"/>
        </w:rPr>
        <w:t>lar. Sa</w:t>
      </w:r>
      <w:r w:rsidRPr="00A70D85">
        <w:rPr>
          <w:rFonts w:ascii="Times New Roman" w:hAnsi="Times New Roman" w:hint="eastAsia"/>
          <w:color w:val="0070C0"/>
          <w:sz w:val="24"/>
          <w:szCs w:val="24"/>
          <w:lang w:eastAsia="nl-NL"/>
        </w:rPr>
        <w:t>ğ</w:t>
      </w:r>
      <w:r w:rsidRPr="00A70D85">
        <w:rPr>
          <w:rFonts w:ascii="Times New Roman" w:hAnsi="Times New Roman"/>
          <w:color w:val="0070C0"/>
          <w:sz w:val="24"/>
          <w:szCs w:val="24"/>
          <w:lang w:eastAsia="nl-NL"/>
        </w:rPr>
        <w:t>l</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k mesle</w:t>
      </w:r>
      <w:r w:rsidRPr="00A70D85">
        <w:rPr>
          <w:rFonts w:ascii="Times New Roman" w:hAnsi="Times New Roman" w:hint="eastAsia"/>
          <w:color w:val="0070C0"/>
          <w:sz w:val="24"/>
          <w:szCs w:val="24"/>
          <w:lang w:eastAsia="nl-NL"/>
        </w:rPr>
        <w:t>ğ</w:t>
      </w:r>
      <w:r w:rsidRPr="00A70D85">
        <w:rPr>
          <w:rFonts w:ascii="Times New Roman" w:hAnsi="Times New Roman"/>
          <w:color w:val="0070C0"/>
          <w:sz w:val="24"/>
          <w:szCs w:val="24"/>
          <w:lang w:eastAsia="nl-NL"/>
        </w:rPr>
        <w:t>i mensuplar</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n</w:t>
      </w:r>
      <w:r w:rsidRPr="00A70D85">
        <w:rPr>
          <w:rFonts w:ascii="Times New Roman" w:hAnsi="Times New Roman" w:hint="eastAsia"/>
          <w:color w:val="0070C0"/>
          <w:sz w:val="24"/>
          <w:szCs w:val="24"/>
          <w:lang w:eastAsia="nl-NL"/>
        </w:rPr>
        <w:t>ı</w:t>
      </w:r>
      <w:r w:rsidRPr="00A70D85">
        <w:rPr>
          <w:rFonts w:ascii="Times New Roman" w:hAnsi="Times New Roman"/>
          <w:color w:val="0070C0"/>
          <w:sz w:val="24"/>
          <w:szCs w:val="24"/>
          <w:lang w:eastAsia="nl-NL"/>
        </w:rPr>
        <w:t xml:space="preserve">n herhangi bir </w:t>
      </w:r>
      <w:r w:rsidRPr="00A70D85">
        <w:rPr>
          <w:rFonts w:ascii="Times New Roman" w:hAnsi="Times New Roman" w:hint="eastAsia"/>
          <w:color w:val="0070C0"/>
          <w:sz w:val="24"/>
          <w:szCs w:val="24"/>
          <w:lang w:eastAsia="nl-NL"/>
        </w:rPr>
        <w:t>şü</w:t>
      </w:r>
      <w:r w:rsidRPr="00A70D85">
        <w:rPr>
          <w:rFonts w:ascii="Times New Roman" w:hAnsi="Times New Roman"/>
          <w:color w:val="0070C0"/>
          <w:sz w:val="24"/>
          <w:szCs w:val="24"/>
          <w:lang w:eastAsia="nl-NL"/>
        </w:rPr>
        <w:t>pheli advers reaksiyonu Türkiye Farmakovijilans Merkezi (TÜFAM)'ne bildirmeleri gerekmektedir. (</w:t>
      </w:r>
      <w:r w:rsidRPr="00A70D85">
        <w:rPr>
          <w:rFonts w:ascii="Times New Roman" w:hAnsi="Times New Roman"/>
          <w:color w:val="0070C0"/>
          <w:sz w:val="24"/>
          <w:szCs w:val="24"/>
          <w:u w:val="single"/>
          <w:lang w:eastAsia="nl-NL"/>
        </w:rPr>
        <w:t>www.titck.gov.tr</w:t>
      </w:r>
      <w:r w:rsidRPr="00A70D85">
        <w:rPr>
          <w:rFonts w:ascii="Times New Roman" w:hAnsi="Times New Roman"/>
          <w:color w:val="0070C0"/>
          <w:sz w:val="24"/>
          <w:szCs w:val="24"/>
          <w:lang w:eastAsia="nl-NL"/>
        </w:rPr>
        <w:t xml:space="preserve">;          e-posta: </w:t>
      </w:r>
      <w:r w:rsidRPr="00A70D85">
        <w:rPr>
          <w:rFonts w:ascii="Times New Roman" w:hAnsi="Times New Roman"/>
          <w:color w:val="0070C0"/>
          <w:sz w:val="24"/>
          <w:szCs w:val="24"/>
          <w:u w:val="single"/>
          <w:lang w:eastAsia="nl-NL"/>
        </w:rPr>
        <w:t>tufam@titck.gov.tr</w:t>
      </w:r>
      <w:r w:rsidRPr="00A70D85">
        <w:rPr>
          <w:rFonts w:ascii="Times New Roman" w:hAnsi="Times New Roman"/>
          <w:color w:val="0070C0"/>
          <w:sz w:val="24"/>
          <w:szCs w:val="24"/>
          <w:lang w:eastAsia="nl-NL"/>
        </w:rPr>
        <w:t>; tel: 0 800 314 00 08; faks: 0 312 218 35 99)</w:t>
      </w:r>
    </w:p>
    <w:p w:rsidR="00A70D85" w:rsidRPr="006E16EB" w:rsidRDefault="00A70D85" w:rsidP="00A70D85">
      <w:pPr>
        <w:pStyle w:val="Default"/>
        <w:tabs>
          <w:tab w:val="left" w:pos="142"/>
        </w:tabs>
        <w:jc w:val="both"/>
        <w:rPr>
          <w:rFonts w:ascii="Times New Roman" w:hAnsi="Times New Roman" w:cs="Times New Roman"/>
          <w:b/>
          <w:bCs/>
          <w:i/>
          <w:iCs/>
          <w:color w:val="000000" w:themeColor="text1"/>
        </w:rPr>
      </w:pPr>
    </w:p>
    <w:p w:rsidR="00C95123" w:rsidRPr="006E16EB" w:rsidRDefault="00C95123"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4.9 </w:t>
      </w:r>
      <w:r w:rsidRPr="006E16EB">
        <w:rPr>
          <w:rFonts w:ascii="Times New Roman" w:hAnsi="Times New Roman" w:cs="Times New Roman"/>
          <w:b/>
          <w:bCs/>
          <w:color w:val="000000" w:themeColor="text1"/>
        </w:rPr>
        <w:t>Doz a</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ımı ve tedavisi </w:t>
      </w:r>
    </w:p>
    <w:p w:rsidR="00141FF1" w:rsidRPr="006E16EB" w:rsidRDefault="00141FF1"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İ</w:t>
      </w:r>
      <w:r w:rsidR="00C95123" w:rsidRPr="006E16EB">
        <w:rPr>
          <w:rFonts w:ascii="Times New Roman" w:hAnsi="Times New Roman" w:cs="Times New Roman"/>
          <w:color w:val="000000" w:themeColor="text1"/>
        </w:rPr>
        <w:t xml:space="preserve">nsanlarda doz aşımı belirtileri bilinmemektedir. </w:t>
      </w:r>
    </w:p>
    <w:p w:rsidR="00141FF1" w:rsidRPr="006E16EB" w:rsidRDefault="00C95123"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2 dakika içinde 240 mg i.v. dozlara kadar uygulanmış ve iyi tolere edilmiştir. </w:t>
      </w:r>
    </w:p>
    <w:p w:rsidR="00141FF1" w:rsidRPr="006E16EB" w:rsidRDefault="00C95123"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proteinlere yüksek oranda bağlandığı için, hemen diyaliz edilemez. </w:t>
      </w:r>
    </w:p>
    <w:p w:rsidR="00C95123" w:rsidRPr="006E16EB" w:rsidRDefault="00C95123" w:rsidP="004B1856">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Aşırı dozda alınması sonucu zehirlenme belirtileri görüldüğünde semptomatik ve destekleyici tedavi</w:t>
      </w:r>
      <w:r w:rsidR="004B1856" w:rsidRPr="006E16EB">
        <w:rPr>
          <w:rFonts w:ascii="Times New Roman" w:eastAsiaTheme="minorHAnsi" w:hAnsi="Times New Roman" w:cs="Times New Roman"/>
          <w:lang w:eastAsia="en-US"/>
        </w:rPr>
        <w:t xml:space="preserve"> </w:t>
      </w:r>
      <w:r w:rsidR="004B1856" w:rsidRPr="006E16EB">
        <w:rPr>
          <w:rFonts w:ascii="Times New Roman" w:eastAsiaTheme="minorHAnsi" w:hAnsi="Times New Roman" w:cs="Times New Roman"/>
          <w:color w:val="auto"/>
          <w:lang w:eastAsia="en-US"/>
        </w:rPr>
        <w:t>uygulanması dışında bir terapötik uygulama tavsiye edilemez.</w:t>
      </w:r>
      <w:r w:rsidRPr="006E16EB">
        <w:rPr>
          <w:rFonts w:ascii="Times New Roman" w:hAnsi="Times New Roman" w:cs="Times New Roman"/>
          <w:color w:val="000000" w:themeColor="text1"/>
        </w:rPr>
        <w:t xml:space="preserv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lastRenderedPageBreak/>
        <w:t>5. FARMAKOLOJ</w:t>
      </w:r>
      <w:r w:rsidR="009D08E5"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K ÖZELL</w:t>
      </w:r>
      <w:r w:rsidR="009D08E5"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 xml:space="preserve">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5.1 </w:t>
      </w:r>
      <w:r w:rsidRPr="006E16EB">
        <w:rPr>
          <w:rFonts w:ascii="Times New Roman" w:hAnsi="Times New Roman" w:cs="Times New Roman"/>
          <w:b/>
          <w:bCs/>
          <w:color w:val="000000" w:themeColor="text1"/>
        </w:rPr>
        <w:t xml:space="preserve">Farmakodinamik özellikler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Farmakoterapötik grup: Proton pompası inhibitörleri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ATC kodu: A02BC02 </w:t>
      </w:r>
    </w:p>
    <w:p w:rsidR="00543D47" w:rsidRPr="006E16EB" w:rsidRDefault="00543D47" w:rsidP="00A70D85">
      <w:pPr>
        <w:pStyle w:val="Default"/>
        <w:tabs>
          <w:tab w:val="left" w:pos="142"/>
        </w:tabs>
        <w:jc w:val="both"/>
        <w:rPr>
          <w:rFonts w:ascii="Times New Roman" w:hAnsi="Times New Roman" w:cs="Times New Roman"/>
          <w:color w:val="000000" w:themeColor="text1"/>
          <w:u w:val="single"/>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Etki Mekanizması </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bir sübstitüye benzimidazol olup, pariyetal hücrelerde bulunan proton pompalarına spesifik etkisi ile midede hidroklorik asit salgılanmasını inhibe eder. </w:t>
      </w:r>
    </w:p>
    <w:p w:rsidR="000B7B24" w:rsidRPr="006E16EB" w:rsidRDefault="00C95123" w:rsidP="000B7B24">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Pantoprazol, pariyetal hücrelerin asidik ortamında aktif formuna dönüşür ve midede hidroklorik asit üretiminin son aşaması olan H</w:t>
      </w:r>
      <w:r w:rsidRPr="006E16EB">
        <w:rPr>
          <w:rFonts w:ascii="Times New Roman" w:hAnsi="Times New Roman" w:cs="Times New Roman"/>
          <w:color w:val="000000" w:themeColor="text1"/>
          <w:vertAlign w:val="superscript"/>
        </w:rPr>
        <w:t>+</w:t>
      </w:r>
      <w:r w:rsidRPr="006E16EB">
        <w:rPr>
          <w:rFonts w:ascii="Times New Roman" w:hAnsi="Times New Roman" w:cs="Times New Roman"/>
          <w:color w:val="000000" w:themeColor="text1"/>
        </w:rPr>
        <w:t>, K</w:t>
      </w:r>
      <w:r w:rsidRPr="006E16EB">
        <w:rPr>
          <w:rFonts w:ascii="Times New Roman" w:hAnsi="Times New Roman" w:cs="Times New Roman"/>
          <w:color w:val="000000" w:themeColor="text1"/>
          <w:vertAlign w:val="superscript"/>
        </w:rPr>
        <w:t>+</w:t>
      </w:r>
      <w:r w:rsidRPr="006E16EB">
        <w:rPr>
          <w:rFonts w:ascii="Times New Roman" w:hAnsi="Times New Roman" w:cs="Times New Roman"/>
          <w:color w:val="000000" w:themeColor="text1"/>
        </w:rPr>
        <w:t xml:space="preserve">-ATPaz enziminin inhibisyonunu sağlar. </w:t>
      </w:r>
      <w:r w:rsidR="000B7B24" w:rsidRPr="006E16EB">
        <w:rPr>
          <w:rFonts w:ascii="Times New Roman" w:hAnsi="Times New Roman" w:cs="Times New Roman"/>
          <w:color w:val="000000" w:themeColor="text1"/>
        </w:rPr>
        <w:t>İ</w:t>
      </w:r>
      <w:r w:rsidRPr="006E16EB">
        <w:rPr>
          <w:rFonts w:ascii="Times New Roman" w:hAnsi="Times New Roman" w:cs="Times New Roman"/>
          <w:color w:val="000000" w:themeColor="text1"/>
        </w:rPr>
        <w:t xml:space="preserve">nhibisyon doza bağlı olup, </w:t>
      </w:r>
      <w:r w:rsidR="000B7B24" w:rsidRPr="006E16EB">
        <w:rPr>
          <w:rFonts w:ascii="Times New Roman" w:hAnsi="Times New Roman" w:cs="Times New Roman"/>
          <w:color w:val="000000" w:themeColor="text1"/>
        </w:rPr>
        <w:t xml:space="preserve">hem </w:t>
      </w:r>
      <w:r w:rsidRPr="006E16EB">
        <w:rPr>
          <w:rFonts w:ascii="Times New Roman" w:hAnsi="Times New Roman" w:cs="Times New Roman"/>
          <w:color w:val="000000" w:themeColor="text1"/>
        </w:rPr>
        <w:t xml:space="preserve">bazal </w:t>
      </w:r>
      <w:r w:rsidR="000B7B24" w:rsidRPr="006E16EB">
        <w:rPr>
          <w:rFonts w:ascii="Times New Roman" w:hAnsi="Times New Roman" w:cs="Times New Roman"/>
          <w:color w:val="000000" w:themeColor="text1"/>
        </w:rPr>
        <w:t>hem de</w:t>
      </w:r>
      <w:r w:rsidRPr="006E16EB">
        <w:rPr>
          <w:rFonts w:ascii="Times New Roman" w:hAnsi="Times New Roman" w:cs="Times New Roman"/>
          <w:color w:val="000000" w:themeColor="text1"/>
        </w:rPr>
        <w:t xml:space="preserve"> stimule asit salgılanmasını etkiler. Birçok hastada semptomların düzelmesi iki hafta içinde gerçekleşir.</w:t>
      </w:r>
      <w:r w:rsidR="000B7B24" w:rsidRPr="006E16EB">
        <w:rPr>
          <w:rFonts w:ascii="Times New Roman" w:hAnsi="Times New Roman" w:cs="Times New Roman"/>
          <w:color w:val="000000" w:themeColor="text1"/>
        </w:rPr>
        <w:t xml:space="preserve"> </w:t>
      </w:r>
      <w:r w:rsidR="000B7B24" w:rsidRPr="006E16EB">
        <w:rPr>
          <w:rFonts w:ascii="Times New Roman" w:eastAsiaTheme="minorHAnsi" w:hAnsi="Times New Roman" w:cs="Times New Roman"/>
          <w:color w:val="auto"/>
          <w:lang w:eastAsia="en-US"/>
        </w:rPr>
        <w:t xml:space="preserve">Diğer proton pompası inhibitörleri ve H2 reseptör inhibitörlerinde olduğu gibi pantoprazol ile tedavi, midedeki asiditeyi azaltır ve böylece asiditedeki azalmayla orantılı olarak gastrin artışı sağlar. Gastrin artışı geri dönüşümlüdür. </w:t>
      </w:r>
      <w:r w:rsidR="000B7B24" w:rsidRPr="006E16EB">
        <w:rPr>
          <w:rFonts w:ascii="Times New Roman" w:hAnsi="Times New Roman" w:cs="Times New Roman"/>
          <w:color w:val="000000" w:themeColor="text1"/>
        </w:rPr>
        <w:t xml:space="preserve">Pantoprazol, enzimle reseptör distalinde etkileştiği için öteki maddelerle stimülasyondan da etkilenmeksizin (asetilkolin, histamin, gastrin) hidroklorik asit sekresyonunu inhibe eder. </w:t>
      </w:r>
      <w:r w:rsidRPr="006E16EB">
        <w:rPr>
          <w:rFonts w:ascii="Times New Roman" w:hAnsi="Times New Roman" w:cs="Times New Roman"/>
          <w:color w:val="000000" w:themeColor="text1"/>
        </w:rPr>
        <w:t xml:space="preserve">Oral veya intravenöz uygulamada aynı etki görülür. </w:t>
      </w:r>
    </w:p>
    <w:p w:rsidR="000B7B24" w:rsidRPr="006E16EB" w:rsidRDefault="000B7B24" w:rsidP="000B7B24">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Açlık durumundaki gastrin değerleri pantoprazol ile artar. Kısa süreli kullanımda çoğu durumda normalin üst limitini aşmaz. Uzun süreli tedavide pek çok durumda gastrin seviyesi iki katına çıkar. Ancak nadir durumlarda aşırı artış meydana gelir. Sonuç olarak, uzun süreli tedavi süresince çok az vakada (basit veya adenomatoid hiperplazi) midedeki spesifik endokrin (ECL) hücrelerinin sayısında hafif ila orta derecede artış meydana gelir. Ancak bugüne kadar gerçekleştirilmiş olan çalışmalara göre, hayvanlar üzerinde yapılan çalışmalarda gözlenen karsinoid prekürsör (atipik hiperplazi) veya gastrik karsinoid oluşumu (bkz bölüm 5.3), insanlarda gözlenmemiştir.</w:t>
      </w:r>
    </w:p>
    <w:p w:rsidR="000B7B24" w:rsidRPr="006E16EB" w:rsidRDefault="000B7B24" w:rsidP="000B7B24">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E16EB">
        <w:rPr>
          <w:rFonts w:ascii="Times New Roman" w:eastAsiaTheme="minorHAnsi" w:hAnsi="Times New Roman" w:cs="Times New Roman"/>
          <w:sz w:val="24"/>
          <w:szCs w:val="24"/>
          <w:lang w:eastAsia="en-US"/>
        </w:rPr>
        <w:t xml:space="preserve">Proton pompası inhibitörleri dahil, herhangi bir sebepten dolayı azalan gastrik asidite, gastrointestinal sistemde normal olarak var olan bakterilerin sayısında artışa neden olur. </w:t>
      </w:r>
    </w:p>
    <w:p w:rsidR="000B7B24" w:rsidRPr="006E16EB" w:rsidRDefault="000B7B24" w:rsidP="000B7B24">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E16EB">
        <w:rPr>
          <w:rFonts w:ascii="Times New Roman" w:eastAsiaTheme="minorHAnsi" w:hAnsi="Times New Roman" w:cs="Times New Roman"/>
          <w:sz w:val="24"/>
          <w:szCs w:val="24"/>
          <w:lang w:eastAsia="en-US"/>
        </w:rPr>
        <w:t xml:space="preserve">Proton pompası inhibitörleri ile tedavi, Salmonella ve Camphylobacter ve muhtemelen ayrıca hastanede yatan hastalarda Clostridum difficile gibi gastrointestinal enfeksiyonların riskini az da olsa arttırabilir. </w:t>
      </w:r>
    </w:p>
    <w:p w:rsidR="000B7B24" w:rsidRPr="006E16EB" w:rsidRDefault="000B7B24" w:rsidP="000B7B24">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Hayvanlar üzerinde yapılan çalışmaların sonuçlarına göre, pantoprazol ile bir yılı aşan uzun süreli tedavinin, tiroidin endokrin parametreleri üzerindeki etkisi tamamen göz ardı edilemez.</w:t>
      </w:r>
    </w:p>
    <w:p w:rsidR="000B7B24" w:rsidRDefault="000B7B24" w:rsidP="00543D47">
      <w:pPr>
        <w:pStyle w:val="Default"/>
        <w:tabs>
          <w:tab w:val="left" w:pos="142"/>
        </w:tabs>
        <w:jc w:val="both"/>
        <w:rPr>
          <w:rFonts w:ascii="Times New Roman" w:hAnsi="Times New Roman" w:cs="Times New Roman"/>
          <w:color w:val="FF0000"/>
        </w:rPr>
      </w:pPr>
    </w:p>
    <w:p w:rsidR="00A70D85" w:rsidRDefault="00A70D85" w:rsidP="00543D47">
      <w:pPr>
        <w:pStyle w:val="Default"/>
        <w:tabs>
          <w:tab w:val="left" w:pos="142"/>
        </w:tabs>
        <w:jc w:val="both"/>
        <w:rPr>
          <w:rFonts w:ascii="Times New Roman" w:hAnsi="Times New Roman" w:cs="Times New Roman"/>
          <w:color w:val="FF0000"/>
        </w:rPr>
      </w:pPr>
    </w:p>
    <w:p w:rsidR="00A70D85" w:rsidRPr="006E16EB" w:rsidRDefault="00A70D85" w:rsidP="00543D47">
      <w:pPr>
        <w:pStyle w:val="Default"/>
        <w:tabs>
          <w:tab w:val="left" w:pos="142"/>
        </w:tabs>
        <w:jc w:val="both"/>
        <w:rPr>
          <w:rFonts w:ascii="Times New Roman" w:hAnsi="Times New Roman" w:cs="Times New Roman"/>
          <w:color w:val="FF0000"/>
        </w:rPr>
      </w:pPr>
    </w:p>
    <w:p w:rsidR="00141FF1" w:rsidRPr="006E16EB" w:rsidRDefault="00C95123" w:rsidP="000B7B24">
      <w:pPr>
        <w:pStyle w:val="Default"/>
        <w:tabs>
          <w:tab w:val="left" w:pos="142"/>
        </w:tabs>
        <w:spacing w:line="360" w:lineRule="auto"/>
        <w:jc w:val="both"/>
        <w:rPr>
          <w:rFonts w:ascii="Times New Roman" w:hAnsi="Times New Roman" w:cs="Times New Roman"/>
          <w:b/>
          <w:bCs/>
          <w:color w:val="000000" w:themeColor="text1"/>
        </w:rPr>
      </w:pPr>
      <w:r w:rsidRPr="006E16EB">
        <w:rPr>
          <w:rFonts w:ascii="Times New Roman" w:hAnsi="Times New Roman" w:cs="Times New Roman"/>
          <w:b/>
          <w:bCs/>
          <w:color w:val="000000" w:themeColor="text1"/>
        </w:rPr>
        <w:lastRenderedPageBreak/>
        <w:t xml:space="preserve">5.2 Farmakokinetik özellikler </w:t>
      </w:r>
    </w:p>
    <w:p w:rsidR="00141FF1" w:rsidRPr="006E16EB" w:rsidRDefault="00C95123" w:rsidP="00FA660C">
      <w:pPr>
        <w:pStyle w:val="Default"/>
        <w:tabs>
          <w:tab w:val="left" w:pos="142"/>
        </w:tabs>
        <w:spacing w:line="360" w:lineRule="auto"/>
        <w:jc w:val="both"/>
        <w:rPr>
          <w:rFonts w:ascii="Times New Roman" w:hAnsi="Times New Roman" w:cs="Times New Roman"/>
          <w:b/>
          <w:bCs/>
          <w:color w:val="000000" w:themeColor="text1"/>
        </w:rPr>
      </w:pPr>
      <w:r w:rsidRPr="006E16EB">
        <w:rPr>
          <w:rFonts w:ascii="Times New Roman" w:hAnsi="Times New Roman" w:cs="Times New Roman"/>
          <w:b/>
          <w:bCs/>
          <w:color w:val="000000" w:themeColor="text1"/>
        </w:rPr>
        <w:t xml:space="preserve">Genel farmakokinetik </w:t>
      </w:r>
    </w:p>
    <w:p w:rsidR="009D08E5"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Emilim: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hızla absorbe edilir ve 40 mg oral tek dozdan sonra bile maksimum plazma düzeyine ulaşır. Uygulamadan ortalama 2.5 saat sonra yaklaşık 2-3 </w:t>
      </w:r>
      <w:r w:rsidR="000B7B24" w:rsidRPr="006E16EB">
        <w:rPr>
          <w:rFonts w:ascii="Times New Roman" w:hAnsi="Times New Roman" w:cs="Times New Roman"/>
          <w:color w:val="000000" w:themeColor="text1"/>
        </w:rPr>
        <w:t>mc</w:t>
      </w:r>
      <w:r w:rsidRPr="006E16EB">
        <w:rPr>
          <w:rFonts w:ascii="Times New Roman" w:hAnsi="Times New Roman" w:cs="Times New Roman"/>
          <w:color w:val="000000" w:themeColor="text1"/>
        </w:rPr>
        <w:t xml:space="preserve">g/mL olan serum konsantrasyonlarına ulaşılır ve bu değerler çoklu uygulamadan sonra sabit kalır.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Farmakokinetik tek doz veya tekrarlayan dozlardan sonra değişiklik göstermez.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Tabletin mutlak biyoyararlanımı yaklaşık % 77’dir. Besinlerle birlikte alınması</w:t>
      </w:r>
      <w:r w:rsidR="000B7B24" w:rsidRPr="006E16EB">
        <w:rPr>
          <w:rFonts w:ascii="Times New Roman" w:hAnsi="Times New Roman" w:cs="Times New Roman"/>
          <w:color w:val="000000" w:themeColor="text1"/>
        </w:rPr>
        <w:t xml:space="preserve">, </w:t>
      </w:r>
      <w:r w:rsidRPr="006E16EB">
        <w:rPr>
          <w:rFonts w:ascii="Times New Roman" w:hAnsi="Times New Roman" w:cs="Times New Roman"/>
          <w:color w:val="000000" w:themeColor="text1"/>
        </w:rPr>
        <w:t xml:space="preserve"> </w:t>
      </w:r>
      <w:r w:rsidR="000B7B24" w:rsidRPr="006E16EB">
        <w:rPr>
          <w:rFonts w:ascii="Times New Roman" w:hAnsi="Times New Roman" w:cs="Times New Roman"/>
          <w:color w:val="000000" w:themeColor="text1"/>
        </w:rPr>
        <w:t xml:space="preserve">Eğri Altında Kalan Alan </w:t>
      </w:r>
      <w:r w:rsidRPr="006E16EB">
        <w:rPr>
          <w:rFonts w:ascii="Times New Roman" w:hAnsi="Times New Roman" w:cs="Times New Roman"/>
          <w:color w:val="000000" w:themeColor="text1"/>
        </w:rPr>
        <w:t>(</w:t>
      </w:r>
      <w:r w:rsidR="000B7B24" w:rsidRPr="006E16EB">
        <w:rPr>
          <w:rFonts w:ascii="Times New Roman" w:hAnsi="Times New Roman" w:cs="Times New Roman"/>
          <w:color w:val="000000" w:themeColor="text1"/>
        </w:rPr>
        <w:t>EAA</w:t>
      </w:r>
      <w:r w:rsidRPr="006E16EB">
        <w:rPr>
          <w:rFonts w:ascii="Times New Roman" w:hAnsi="Times New Roman" w:cs="Times New Roman"/>
          <w:color w:val="000000" w:themeColor="text1"/>
        </w:rPr>
        <w:t xml:space="preserve">) değerini, maksimum serum konsantrasyonunu ve sonuçta biyoyararlanımı etkilemez. Besinlerle birlikte alınması sadece </w:t>
      </w:r>
      <w:r w:rsidR="000B7B24" w:rsidRPr="006E16EB">
        <w:rPr>
          <w:rFonts w:ascii="Times New Roman" w:hAnsi="Times New Roman" w:cs="Times New Roman"/>
          <w:color w:val="000000" w:themeColor="text1"/>
        </w:rPr>
        <w:t>gecikme</w:t>
      </w:r>
      <w:r w:rsidRPr="006E16EB">
        <w:rPr>
          <w:rFonts w:ascii="Times New Roman" w:hAnsi="Times New Roman" w:cs="Times New Roman"/>
          <w:color w:val="000000" w:themeColor="text1"/>
        </w:rPr>
        <w:t xml:space="preserve"> süresinin değişkenliğini artırır.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Dağılım: </w:t>
      </w:r>
    </w:p>
    <w:p w:rsidR="000B7B24" w:rsidRPr="006E16EB" w:rsidRDefault="000B7B24"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serum proteinlerine yaklaşık %98 oranında bağlanır.  </w:t>
      </w:r>
      <w:r w:rsidR="00C95123" w:rsidRPr="006E16EB">
        <w:rPr>
          <w:rFonts w:ascii="Times New Roman" w:hAnsi="Times New Roman" w:cs="Times New Roman"/>
          <w:color w:val="000000" w:themeColor="text1"/>
        </w:rPr>
        <w:t>Dağılım hacmi yaklaşık 0.15 L/kg’dır</w:t>
      </w:r>
      <w:r w:rsidRPr="006E16EB">
        <w:rPr>
          <w:rFonts w:ascii="Times New Roman" w:hAnsi="Times New Roman" w:cs="Times New Roman"/>
          <w:color w:val="000000" w:themeColor="text1"/>
        </w:rPr>
        <w:t>.</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Biyotransformasyon: </w:t>
      </w:r>
    </w:p>
    <w:p w:rsidR="00C95123" w:rsidRPr="006E16EB" w:rsidRDefault="00C95123" w:rsidP="000B7B24">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Pantoprazolün tamamı</w:t>
      </w:r>
      <w:r w:rsidR="000B7B24" w:rsidRPr="006E16EB">
        <w:rPr>
          <w:rFonts w:ascii="Times New Roman" w:hAnsi="Times New Roman" w:cs="Times New Roman"/>
          <w:color w:val="000000" w:themeColor="text1"/>
        </w:rPr>
        <w:t>na yakını</w:t>
      </w:r>
      <w:r w:rsidRPr="006E16EB">
        <w:rPr>
          <w:rFonts w:ascii="Times New Roman" w:hAnsi="Times New Roman" w:cs="Times New Roman"/>
          <w:color w:val="000000" w:themeColor="text1"/>
        </w:rPr>
        <w:t xml:space="preserve"> karaciğerde metabolize olur. Ana metabolik yolak CYP2C19 ile demetilasyon ile bunu izleyen sülfat konjugasyonudur, diğer metabolik yolak CYP3A4 ile oksidasyondur. </w:t>
      </w:r>
      <w:r w:rsidR="000B7B24" w:rsidRPr="006E16EB">
        <w:rPr>
          <w:rFonts w:ascii="Times New Roman" w:eastAsiaTheme="minorHAnsi" w:hAnsi="Times New Roman" w:cs="Times New Roman"/>
          <w:lang w:eastAsia="en-US"/>
        </w:rPr>
        <w:t xml:space="preserve"> </w:t>
      </w:r>
      <w:r w:rsidR="000B7B24" w:rsidRPr="006E16EB">
        <w:rPr>
          <w:rFonts w:ascii="Times New Roman" w:eastAsiaTheme="minorHAnsi" w:hAnsi="Times New Roman" w:cs="Times New Roman"/>
          <w:color w:val="auto"/>
          <w:lang w:eastAsia="en-US"/>
        </w:rPr>
        <w:t>Gerek serum gerekse idrardaki ana metabolit, sülfatla konjuge olan desmetilpantoprazoldür.</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Eliminasyon: </w:t>
      </w:r>
    </w:p>
    <w:p w:rsidR="00C95123" w:rsidRPr="006E16EB" w:rsidRDefault="00C95123" w:rsidP="000B7B24">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Pantoprazol metabolitleri başlıca renal yolla (yaklaşık %80’i), kalanı feçes ile atılır. </w:t>
      </w:r>
      <w:r w:rsidR="000B7B24" w:rsidRPr="006E16EB">
        <w:rPr>
          <w:rFonts w:ascii="Times New Roman" w:eastAsiaTheme="minorHAnsi" w:hAnsi="Times New Roman" w:cs="Times New Roman"/>
          <w:lang w:eastAsia="en-US"/>
        </w:rPr>
        <w:t xml:space="preserve"> </w:t>
      </w:r>
      <w:r w:rsidR="000B7B24" w:rsidRPr="006E16EB">
        <w:rPr>
          <w:rFonts w:ascii="Times New Roman" w:eastAsiaTheme="minorHAnsi" w:hAnsi="Times New Roman" w:cs="Times New Roman"/>
          <w:color w:val="auto"/>
          <w:lang w:eastAsia="en-US"/>
        </w:rPr>
        <w:t xml:space="preserve">Terminal yarılanma ömrü yaklaşık bir saattir ve klerens yaklaşık 0.11/h/kg’dır. Eliminasyonun geciktiği birkaç vaka görülmüştür. Pantoprazolün pariyetal hücrelerin proton pompalarına spesifik olarak bağlanması nedeniyle, eliminasyon yarı-ömrü, daha uzun etkinlik süreleri ile orantılı değildir (asit sekresyonunun inhibisyonu). </w:t>
      </w:r>
      <w:r w:rsidRPr="006E16EB">
        <w:rPr>
          <w:rFonts w:ascii="Times New Roman" w:hAnsi="Times New Roman" w:cs="Times New Roman"/>
          <w:color w:val="000000" w:themeColor="text1"/>
        </w:rPr>
        <w:t>Ana metabolitin yarılanma ömrü (yaklaşık 1.5 sa</w:t>
      </w:r>
      <w:r w:rsidR="00447A17" w:rsidRPr="006E16EB">
        <w:rPr>
          <w:rFonts w:ascii="Times New Roman" w:hAnsi="Times New Roman" w:cs="Times New Roman"/>
          <w:color w:val="000000" w:themeColor="text1"/>
        </w:rPr>
        <w:t>at</w:t>
      </w:r>
      <w:r w:rsidRPr="006E16EB">
        <w:rPr>
          <w:rFonts w:ascii="Times New Roman" w:hAnsi="Times New Roman" w:cs="Times New Roman"/>
          <w:color w:val="000000" w:themeColor="text1"/>
        </w:rPr>
        <w:t xml:space="preserve">), pantoprazolden daha uzun değildir. </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Doğrusallık/doğrusal olmayan durum: </w:t>
      </w:r>
    </w:p>
    <w:p w:rsidR="00C95123" w:rsidRPr="006E16EB" w:rsidRDefault="00447A17"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Pantaprazol’un farmakokinetiği, tek doz veya tekrarlayan dozlardan sonra değişiklik göstermez.  </w:t>
      </w:r>
      <w:r w:rsidR="00C95123" w:rsidRPr="006E16EB">
        <w:rPr>
          <w:rFonts w:ascii="Times New Roman" w:hAnsi="Times New Roman" w:cs="Times New Roman"/>
          <w:color w:val="000000" w:themeColor="text1"/>
        </w:rPr>
        <w:t xml:space="preserve">10-80 mg’lık doz aralığında, hem oral hem intravenöz uygulamadan sonra pantoprazolün plazma kinetiği doğrusaldır. </w:t>
      </w:r>
    </w:p>
    <w:p w:rsidR="000B7B24" w:rsidRPr="006E16EB" w:rsidRDefault="000B7B24" w:rsidP="00543D47">
      <w:pPr>
        <w:pStyle w:val="Default"/>
        <w:tabs>
          <w:tab w:val="left" w:pos="142"/>
        </w:tabs>
        <w:jc w:val="both"/>
        <w:rPr>
          <w:rFonts w:ascii="Times New Roman" w:hAnsi="Times New Roman" w:cs="Times New Roman"/>
          <w:b/>
          <w:bCs/>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Hastalardaki karakteristik özellikler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Polimorfik metabolizma: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Avrupa popülasyonunun yaklaşık %3’ü fonksiyonel CYP2C19 enziminden yoksundur ve bu kişiler zayıf metabolize ediciler olarak adlandırılırlar. Bu bireylerde pantoprazolün </w:t>
      </w:r>
      <w:r w:rsidRPr="006E16EB">
        <w:rPr>
          <w:rFonts w:ascii="Times New Roman" w:hAnsi="Times New Roman" w:cs="Times New Roman"/>
          <w:color w:val="000000" w:themeColor="text1"/>
        </w:rPr>
        <w:lastRenderedPageBreak/>
        <w:t xml:space="preserve">metabolizması CYP3A4 enzimiyle gerçekleşir. 40 mg pantoprazolün tek doz uygulanmasından sonra, plazma-konsantrasyon eğrisinin altında kalan alan zayıf metabolize edicilerde, CYP2C19 enzimine sahip kişilerden (ekstansif metabolize ediciler) 6 kat daha büyüktür. Ortalama </w:t>
      </w:r>
      <w:r w:rsidR="00447A17" w:rsidRPr="006E16EB">
        <w:rPr>
          <w:rFonts w:ascii="Times New Roman" w:hAnsi="Times New Roman" w:cs="Times New Roman"/>
          <w:color w:val="000000" w:themeColor="text1"/>
        </w:rPr>
        <w:t>doruk</w:t>
      </w:r>
      <w:r w:rsidRPr="006E16EB">
        <w:rPr>
          <w:rFonts w:ascii="Times New Roman" w:hAnsi="Times New Roman" w:cs="Times New Roman"/>
          <w:color w:val="000000" w:themeColor="text1"/>
        </w:rPr>
        <w:t xml:space="preserve"> plazma konsantrasyonları %60 artmıştır. Bu bulgular pantoprazolün pozolojisi için bir öneri niteliğinde değildir. </w:t>
      </w:r>
    </w:p>
    <w:p w:rsidR="00447A17" w:rsidRPr="006E16EB" w:rsidRDefault="00447A17" w:rsidP="00A70D85">
      <w:pPr>
        <w:pStyle w:val="Default"/>
        <w:tabs>
          <w:tab w:val="left" w:pos="142"/>
        </w:tabs>
        <w:jc w:val="both"/>
        <w:rPr>
          <w:rFonts w:ascii="Times New Roman" w:hAnsi="Times New Roman" w:cs="Times New Roman"/>
          <w:color w:val="000000" w:themeColor="text1"/>
          <w:u w:val="single"/>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Böbrek yetmezliği: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Böbrek fonksiyonu kısı</w:t>
      </w:r>
      <w:r w:rsidR="00F73579" w:rsidRPr="006E16EB">
        <w:rPr>
          <w:rFonts w:ascii="Times New Roman" w:hAnsi="Times New Roman" w:cs="Times New Roman"/>
          <w:color w:val="000000" w:themeColor="text1"/>
        </w:rPr>
        <w:t xml:space="preserve">tlı hastalar (diyaliz hastaları </w:t>
      </w:r>
      <w:r w:rsidRPr="006E16EB">
        <w:rPr>
          <w:rFonts w:ascii="Times New Roman" w:hAnsi="Times New Roman" w:cs="Times New Roman"/>
          <w:color w:val="000000" w:themeColor="text1"/>
        </w:rPr>
        <w:t xml:space="preserve">dahil) için doz azaltılmasına gerek yoktur. Bu hastalarda sağlıklı kişilerde olduğu gibi pantoprazol yarı ömrü kısa olup, çok küçük miktarda diyalize edilebilir. Başlıca metabolitinin yarı ömrü biraz uzamasına rağmen (2-3 saat), atılım hızlı olduğundan birikme söz konusu değildir.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Karaciğer yetmezliği: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Karaciğer sirozu olan hastalarda (Child’e göre sınıf A ve B) yarı ömrü 7-9 saat ve EAA değerleri 5-7 kat artmasına rağmen, maksimum serum konsantrasyonu sağlıklı kişilere nazaran sadece 1.5 kat artmıştır.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Pediyatrik popülasyon: </w:t>
      </w:r>
    </w:p>
    <w:p w:rsidR="00C95123" w:rsidRPr="006E16EB" w:rsidRDefault="00C95123" w:rsidP="00447A17">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20 veya 40 mg pantoprazolün 5-16 yaşlarındaki çocuklara tek doz oral olarak uygulanmasından sonra EAA ile C</w:t>
      </w:r>
      <w:r w:rsidRPr="006E16EB">
        <w:rPr>
          <w:rFonts w:ascii="Times New Roman" w:hAnsi="Times New Roman" w:cs="Times New Roman"/>
          <w:color w:val="000000" w:themeColor="text1"/>
          <w:vertAlign w:val="subscript"/>
        </w:rPr>
        <w:t>max</w:t>
      </w:r>
      <w:r w:rsidRPr="006E16EB">
        <w:rPr>
          <w:rFonts w:ascii="Times New Roman" w:hAnsi="Times New Roman" w:cs="Times New Roman"/>
          <w:color w:val="000000" w:themeColor="text1"/>
        </w:rPr>
        <w:t xml:space="preserve"> değerleri, yetişkin değerlerinin aralığındadır. </w:t>
      </w:r>
      <w:r w:rsidR="00447A17" w:rsidRPr="006E16EB">
        <w:rPr>
          <w:rFonts w:ascii="Times New Roman" w:eastAsiaTheme="minorHAnsi" w:hAnsi="Times New Roman" w:cs="Times New Roman"/>
          <w:lang w:eastAsia="en-US"/>
        </w:rPr>
        <w:t xml:space="preserve"> </w:t>
      </w:r>
      <w:r w:rsidR="00447A17" w:rsidRPr="006E16EB">
        <w:rPr>
          <w:rFonts w:ascii="Times New Roman" w:eastAsiaTheme="minorHAnsi" w:hAnsi="Times New Roman" w:cs="Times New Roman"/>
          <w:color w:val="auto"/>
          <w:lang w:eastAsia="en-US"/>
        </w:rPr>
        <w:t>0.8 veya 1.6 mg/kg pantoprazolün 2-16 yaş arasındaki çocuklara tek doz intravenöz yolla uygulanmasından sonra, pantoprazol klerensi ile yaş veya kilo arasında anlamlı bir ilişki bulunmamıştır. EAA ve dağılım hacmi, yetişkinlerden elde edilen verilerle uyumludur.</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Geriyatrik popülasyon: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Yaşlı gönüllülerde gençlere nazaran görülen EAA ve Cmaks değerlerindeki hafif artış klinik açıdan önemli değildir. </w:t>
      </w:r>
    </w:p>
    <w:p w:rsidR="00F73579" w:rsidRPr="006E16EB" w:rsidRDefault="00F73579"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5.3 </w:t>
      </w:r>
      <w:r w:rsidRPr="006E16EB">
        <w:rPr>
          <w:rFonts w:ascii="Times New Roman" w:hAnsi="Times New Roman" w:cs="Times New Roman"/>
          <w:b/>
          <w:bCs/>
          <w:color w:val="000000" w:themeColor="text1"/>
        </w:rPr>
        <w:t xml:space="preserve">Klinik öncesi güvenlilik verileri </w:t>
      </w:r>
    </w:p>
    <w:p w:rsidR="00447A17"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Klasik farmakolojik güvenlik çalışmaları, tekrarlanmış dozlarda toksisite ve genotoksisite çalışmalarından elde edilen preklinik veriler insanlara özel bir tehlikenin söz konusu olmadığını göstermektedir. </w:t>
      </w:r>
    </w:p>
    <w:p w:rsidR="00447A17" w:rsidRPr="006E16EB" w:rsidRDefault="00447A17" w:rsidP="00447A17">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E16EB">
        <w:rPr>
          <w:rFonts w:ascii="Times New Roman" w:eastAsiaTheme="minorHAnsi" w:hAnsi="Times New Roman" w:cs="Times New Roman"/>
          <w:sz w:val="24"/>
          <w:szCs w:val="24"/>
          <w:lang w:eastAsia="en-US"/>
        </w:rPr>
        <w:t xml:space="preserve">Sıçanlar üzerinde 2 yıl boyunca yapılan karsinojenisite testlerinde nöroendokrin neoplazmalar bulunmuştur. Ayrıca, sıçanların ön midelerinde pullu hücre papillomaları bulunmuştur. Substitüe benzimidazoller vasıtasıyla gastrik karsinoidlerin oluşumuna neden olan mekanizma dikkatlice incelenmiş ve sıçanda kronik yüksek dozlu tedavi esnasında serum gastrin seviyelerinde meydana gelen artışların sekonder bir reaksiyonu olarak görüldüğü sonucuna varılmıştır. Rodentler üzerinde yapılan iki yıllık çalışmalarda, </w:t>
      </w:r>
      <w:r w:rsidRPr="006E16EB">
        <w:rPr>
          <w:rFonts w:ascii="Times New Roman" w:eastAsiaTheme="minorHAnsi" w:hAnsi="Times New Roman" w:cs="Times New Roman"/>
          <w:sz w:val="24"/>
          <w:szCs w:val="24"/>
          <w:lang w:eastAsia="en-US"/>
        </w:rPr>
        <w:lastRenderedPageBreak/>
        <w:t xml:space="preserve">sıçanlarda ve dişi farelerde karaciğer tümörlerinin sayısında artış gözlenmiştir ve pantoprazolün, yüksek oranda karaciğerde metabolize olmasından kaynaklandığı şeklinde yorumlanmıştır. </w:t>
      </w:r>
    </w:p>
    <w:p w:rsidR="00295BE8" w:rsidRPr="006E16EB" w:rsidRDefault="00447A17" w:rsidP="00447A17">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 xml:space="preserve">En yüksek dozu (200 mg/kg) alan sıçan grubunda tiroidin neoplastik değişimlerinde hafif artış gözlenmiştir. Bu neoplazmaların meydana gelişi, sıçan karaciğerinde tiroksinin yıkımında pantoprazolün neden olduğu değişimlerle ilişkilendirilmiştir. İnsanda terapötik doz düşük olduğundan, tiroid bezlerine zararlı etki beklenmez.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Hayvanlarda yapılan üreme çalışmalarında, 5 mg/kg üzerindeki dozlarda </w:t>
      </w:r>
      <w:r w:rsidR="00295BE8" w:rsidRPr="006E16EB">
        <w:rPr>
          <w:rFonts w:ascii="Times New Roman" w:hAnsi="Times New Roman" w:cs="Times New Roman"/>
          <w:color w:val="000000" w:themeColor="text1"/>
        </w:rPr>
        <w:t>hafif</w:t>
      </w:r>
      <w:r w:rsidRPr="006E16EB">
        <w:rPr>
          <w:rFonts w:ascii="Times New Roman" w:hAnsi="Times New Roman" w:cs="Times New Roman"/>
          <w:color w:val="000000" w:themeColor="text1"/>
        </w:rPr>
        <w:t xml:space="preserve"> düzeyde fetotoksisite görülmüştür.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Yapılan araştırmalarda fertilitenin bozulmasına veya teratojen etkiye ilişkin herhangi bir kanıt bulunmamıştır.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Sıçanda plasentaya geçiş araştırılmış ve gebeliğin ilerlemesiyle arttığı bulunmuştur. Sonuç olarak fetüs pantoprazol konsantrasyonu doğumdan kısa süre önce artar. </w:t>
      </w:r>
    </w:p>
    <w:p w:rsidR="008269AF" w:rsidRPr="006E16EB" w:rsidRDefault="008269AF"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6. FARMASÖT</w:t>
      </w:r>
      <w:r w:rsidR="00F73579"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K ÖZELL</w:t>
      </w:r>
      <w:r w:rsidR="00F73579"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 xml:space="preserve">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6.1 </w:t>
      </w:r>
      <w:r w:rsidRPr="006E16EB">
        <w:rPr>
          <w:rFonts w:ascii="Times New Roman" w:hAnsi="Times New Roman" w:cs="Times New Roman"/>
          <w:b/>
          <w:bCs/>
          <w:color w:val="000000" w:themeColor="text1"/>
        </w:rPr>
        <w:t xml:space="preserve">Yardımcı maddelerin listesi </w:t>
      </w:r>
    </w:p>
    <w:p w:rsidR="00C54087"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Sodyum karbonat </w:t>
      </w:r>
      <w:r w:rsidR="00C54087" w:rsidRPr="006E16EB">
        <w:rPr>
          <w:rFonts w:ascii="Times New Roman" w:hAnsi="Times New Roman" w:cs="Times New Roman"/>
          <w:color w:val="000000" w:themeColor="text1"/>
        </w:rPr>
        <w:t>anhidroz</w:t>
      </w:r>
    </w:p>
    <w:p w:rsidR="00C54087"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Mannitol </w:t>
      </w:r>
    </w:p>
    <w:p w:rsidR="00C54087"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Krospovidon </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Sodyum lauril sülfat</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Polivinilpirolidon </w:t>
      </w:r>
      <w:r w:rsidR="00C95123" w:rsidRPr="006E16EB">
        <w:rPr>
          <w:rFonts w:ascii="Times New Roman" w:hAnsi="Times New Roman" w:cs="Times New Roman"/>
          <w:color w:val="000000" w:themeColor="text1"/>
        </w:rPr>
        <w:t xml:space="preserve">K90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Kalsiyum stearat </w:t>
      </w:r>
    </w:p>
    <w:p w:rsidR="00C54087" w:rsidRPr="006E16EB" w:rsidRDefault="00C54087" w:rsidP="00543D47">
      <w:pPr>
        <w:pStyle w:val="Default"/>
        <w:tabs>
          <w:tab w:val="left" w:pos="142"/>
        </w:tabs>
        <w:jc w:val="both"/>
        <w:rPr>
          <w:rFonts w:ascii="Times New Roman" w:hAnsi="Times New Roman" w:cs="Times New Roman"/>
          <w:color w:val="000000" w:themeColor="text1"/>
        </w:rPr>
      </w:pPr>
    </w:p>
    <w:p w:rsidR="00C95123" w:rsidRPr="006E16EB" w:rsidRDefault="000E7D31" w:rsidP="00FA660C">
      <w:pPr>
        <w:pStyle w:val="Default"/>
        <w:tabs>
          <w:tab w:val="left" w:pos="142"/>
        </w:tabs>
        <w:spacing w:line="360" w:lineRule="auto"/>
        <w:jc w:val="both"/>
        <w:rPr>
          <w:rFonts w:ascii="Times New Roman" w:hAnsi="Times New Roman" w:cs="Times New Roman"/>
          <w:iCs/>
          <w:color w:val="000000" w:themeColor="text1"/>
          <w:u w:val="single"/>
        </w:rPr>
      </w:pPr>
      <w:r w:rsidRPr="006E16EB">
        <w:rPr>
          <w:rFonts w:ascii="Times New Roman" w:hAnsi="Times New Roman" w:cs="Times New Roman"/>
          <w:iCs/>
          <w:color w:val="000000" w:themeColor="text1"/>
          <w:u w:val="single"/>
        </w:rPr>
        <w:t>Ara film k</w:t>
      </w:r>
      <w:r w:rsidR="006E16EB" w:rsidRPr="006E16EB">
        <w:rPr>
          <w:rFonts w:ascii="Times New Roman" w:hAnsi="Times New Roman" w:cs="Times New Roman"/>
          <w:iCs/>
          <w:color w:val="000000" w:themeColor="text1"/>
          <w:u w:val="single"/>
        </w:rPr>
        <w:t>aplama maddesi: Opadry II HP 85F22138 yellow</w:t>
      </w:r>
    </w:p>
    <w:p w:rsidR="00C54087" w:rsidRPr="006E16EB" w:rsidRDefault="00C54087" w:rsidP="00FA660C">
      <w:pPr>
        <w:pStyle w:val="Default"/>
        <w:tabs>
          <w:tab w:val="left" w:pos="142"/>
        </w:tabs>
        <w:spacing w:line="360" w:lineRule="auto"/>
        <w:jc w:val="both"/>
        <w:rPr>
          <w:rFonts w:ascii="Times New Roman" w:hAnsi="Times New Roman" w:cs="Times New Roman"/>
          <w:iCs/>
          <w:color w:val="000000" w:themeColor="text1"/>
        </w:rPr>
      </w:pPr>
      <w:r w:rsidRPr="006E16EB">
        <w:rPr>
          <w:rFonts w:ascii="Times New Roman" w:hAnsi="Times New Roman" w:cs="Times New Roman"/>
          <w:iCs/>
          <w:color w:val="000000" w:themeColor="text1"/>
        </w:rPr>
        <w:t>Polivinil Alkol</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bookmarkStart w:id="0" w:name="OLE_LINK1"/>
      <w:bookmarkStart w:id="1" w:name="OLE_LINK2"/>
      <w:r w:rsidRPr="006E16EB">
        <w:rPr>
          <w:rFonts w:ascii="Times New Roman" w:hAnsi="Times New Roman" w:cs="Times New Roman"/>
          <w:color w:val="000000" w:themeColor="text1"/>
        </w:rPr>
        <w:t>Titanyum dioksit</w:t>
      </w:r>
    </w:p>
    <w:bookmarkEnd w:id="0"/>
    <w:bookmarkEnd w:id="1"/>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Makrogol/PEG 3350</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Talk</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Sarı demir oksit</w:t>
      </w:r>
    </w:p>
    <w:p w:rsidR="000E7D31" w:rsidRPr="006E16EB" w:rsidRDefault="000E7D31" w:rsidP="00543D47">
      <w:pPr>
        <w:pStyle w:val="Default"/>
        <w:tabs>
          <w:tab w:val="left" w:pos="142"/>
        </w:tabs>
        <w:jc w:val="both"/>
        <w:rPr>
          <w:rFonts w:ascii="Times New Roman" w:hAnsi="Times New Roman" w:cs="Times New Roman"/>
          <w:color w:val="000000" w:themeColor="text1"/>
        </w:rPr>
      </w:pPr>
    </w:p>
    <w:p w:rsidR="000E7D31" w:rsidRPr="006E16EB" w:rsidRDefault="000E7D31"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Enterik film kaplama:</w:t>
      </w:r>
    </w:p>
    <w:p w:rsidR="000E7D31" w:rsidRPr="006E16EB" w:rsidRDefault="000E7D31"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Talk</w:t>
      </w:r>
    </w:p>
    <w:p w:rsidR="000E7D31" w:rsidRPr="006E16EB" w:rsidRDefault="000E7D31"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Titanyum dioksit</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Simethicone Q7-2587</w:t>
      </w:r>
    </w:p>
    <w:p w:rsidR="000E7D31" w:rsidRDefault="000E7D31" w:rsidP="00543D47">
      <w:pPr>
        <w:pStyle w:val="Default"/>
        <w:tabs>
          <w:tab w:val="left" w:pos="142"/>
        </w:tabs>
        <w:jc w:val="both"/>
        <w:rPr>
          <w:rFonts w:ascii="Times New Roman" w:hAnsi="Times New Roman" w:cs="Times New Roman"/>
          <w:color w:val="000000" w:themeColor="text1"/>
        </w:rPr>
      </w:pPr>
    </w:p>
    <w:p w:rsidR="00A70D85" w:rsidRPr="006E16EB" w:rsidRDefault="00A70D85"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lastRenderedPageBreak/>
        <w:t xml:space="preserve">6.2 Geçimsizlikler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Bilinen bir geçimsizliği bulunmamaktadır. </w:t>
      </w:r>
    </w:p>
    <w:p w:rsidR="00C54087" w:rsidRPr="006E16EB" w:rsidRDefault="00C54087"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6.3 Raf ömrü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36 ay </w:t>
      </w:r>
    </w:p>
    <w:p w:rsidR="00C54087" w:rsidRPr="006E16EB" w:rsidRDefault="00C54087" w:rsidP="00543D47">
      <w:pPr>
        <w:pStyle w:val="Default"/>
        <w:tabs>
          <w:tab w:val="left" w:pos="142"/>
        </w:tabs>
        <w:jc w:val="both"/>
        <w:rPr>
          <w:rFonts w:ascii="Times New Roman" w:hAnsi="Times New Roman" w:cs="Times New Roman"/>
          <w:color w:val="FF0000"/>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6.4 Saklamaya yönelik özel uyarılar </w:t>
      </w:r>
    </w:p>
    <w:p w:rsidR="00C54087" w:rsidRPr="006E16EB" w:rsidRDefault="00C5408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6E16EB">
        <w:rPr>
          <w:rFonts w:ascii="Times New Roman" w:hAnsi="Times New Roman" w:cs="Times New Roman"/>
          <w:color w:val="000000" w:themeColor="text1"/>
          <w:sz w:val="24"/>
          <w:szCs w:val="24"/>
        </w:rPr>
        <w:t>25 °C'nin altındaki oda sıcaklığında saklayınız.</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6.5 Ambalajın niteli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i ve içeri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i </w:t>
      </w:r>
    </w:p>
    <w:p w:rsidR="00C54087" w:rsidRPr="006E16EB" w:rsidRDefault="00C5408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6E16EB">
        <w:rPr>
          <w:rFonts w:ascii="Times New Roman" w:hAnsi="Times New Roman" w:cs="Times New Roman"/>
          <w:color w:val="000000" w:themeColor="text1"/>
          <w:sz w:val="24"/>
          <w:szCs w:val="24"/>
        </w:rPr>
        <w:t>Alu-Alu Blister</w:t>
      </w:r>
    </w:p>
    <w:p w:rsidR="00C54087" w:rsidRPr="006E16EB" w:rsidRDefault="00C5408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6E16EB">
        <w:rPr>
          <w:rFonts w:ascii="Times New Roman" w:hAnsi="Times New Roman" w:cs="Times New Roman"/>
          <w:color w:val="000000" w:themeColor="text1"/>
          <w:sz w:val="24"/>
          <w:szCs w:val="24"/>
        </w:rPr>
        <w:t>Her karton kutu 14 veya 28 enterik kaplı tablet içermektedir.</w:t>
      </w:r>
    </w:p>
    <w:p w:rsidR="00C54087" w:rsidRPr="006E16EB" w:rsidRDefault="00C54087" w:rsidP="00543D47">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6.6 Be</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eri tıbbi üründen arta kalan maddelerin imhası ve di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er özel önlemler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Kullanılmamış olan ürünler ya da atık materyaller, “Tıbbi Atıkların Kontrolü Yönetmeliği” ve “Ambalaj ve Ambalaj Atıklarının Kontrolü Yönetmeliği”ne uygun olarak imha edilmelidir. </w:t>
      </w:r>
    </w:p>
    <w:p w:rsidR="00C54087" w:rsidRPr="006E16EB" w:rsidRDefault="00C54087" w:rsidP="00543D47">
      <w:pPr>
        <w:pStyle w:val="Default"/>
        <w:tabs>
          <w:tab w:val="left" w:pos="142"/>
          <w:tab w:val="left" w:pos="284"/>
        </w:tabs>
        <w:jc w:val="both"/>
        <w:rPr>
          <w:rFonts w:ascii="Times New Roman" w:hAnsi="Times New Roman" w:cs="Times New Roman"/>
          <w:color w:val="FF0000"/>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7.</w:t>
      </w:r>
      <w:r w:rsidRPr="006E16EB">
        <w:rPr>
          <w:rFonts w:ascii="Times New Roman" w:hAnsi="Times New Roman" w:cs="Times New Roman"/>
          <w:b/>
          <w:color w:val="000000"/>
          <w:sz w:val="24"/>
          <w:szCs w:val="24"/>
        </w:rPr>
        <w:tab/>
        <w:t>RUHSAT SAHİBİ</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bookmarkStart w:id="2" w:name="OLE_LINK13"/>
      <w:bookmarkStart w:id="3" w:name="OLE_LINK14"/>
      <w:r w:rsidRPr="006E16EB">
        <w:rPr>
          <w:rFonts w:ascii="Times New Roman" w:hAnsi="Times New Roman" w:cs="Times New Roman"/>
          <w:color w:val="000000"/>
          <w:sz w:val="24"/>
          <w:szCs w:val="24"/>
        </w:rPr>
        <w:t>Deva Holding A.Ş.</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Halkalı Merkez Mah. Basın Ekspres Cad.</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No:1 34303 Küçükçekmece-İstanbul</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 xml:space="preserve">Tel: 0212 692 92 92 </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Faks: 0212 697 00 24</w:t>
      </w:r>
      <w:bookmarkEnd w:id="2"/>
      <w:bookmarkEnd w:id="3"/>
    </w:p>
    <w:p w:rsidR="007123EC" w:rsidRPr="006E16EB" w:rsidRDefault="007123EC" w:rsidP="00543D47">
      <w:pPr>
        <w:shd w:val="clear" w:color="auto" w:fill="FFFFFF"/>
        <w:tabs>
          <w:tab w:val="left" w:pos="284"/>
        </w:tabs>
        <w:spacing w:after="0" w:line="240" w:lineRule="auto"/>
        <w:ind w:right="-28"/>
        <w:contextualSpacing/>
        <w:jc w:val="both"/>
        <w:rPr>
          <w:rFonts w:ascii="Times New Roman" w:hAnsi="Times New Roman" w:cs="Times New Roman"/>
          <w:color w:val="000000"/>
          <w:sz w:val="24"/>
          <w:szCs w:val="24"/>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8.</w:t>
      </w:r>
      <w:r w:rsidRPr="006E16EB">
        <w:rPr>
          <w:rFonts w:ascii="Times New Roman" w:hAnsi="Times New Roman" w:cs="Times New Roman"/>
          <w:b/>
          <w:color w:val="000000"/>
          <w:sz w:val="24"/>
          <w:szCs w:val="24"/>
        </w:rPr>
        <w:tab/>
        <w:t>RUHSAT NUMARASI</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209/79</w:t>
      </w:r>
    </w:p>
    <w:p w:rsidR="00295BE8" w:rsidRPr="006E16EB" w:rsidRDefault="00295BE8" w:rsidP="00543D47">
      <w:pPr>
        <w:shd w:val="clear" w:color="auto" w:fill="FFFFFF"/>
        <w:tabs>
          <w:tab w:val="left" w:pos="284"/>
        </w:tabs>
        <w:spacing w:after="0" w:line="240" w:lineRule="auto"/>
        <w:ind w:right="-28"/>
        <w:contextualSpacing/>
        <w:jc w:val="both"/>
        <w:rPr>
          <w:rFonts w:ascii="Times New Roman" w:hAnsi="Times New Roman" w:cs="Times New Roman"/>
          <w:color w:val="000000"/>
          <w:sz w:val="24"/>
          <w:szCs w:val="24"/>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9.</w:t>
      </w:r>
      <w:r w:rsidRPr="006E16EB">
        <w:rPr>
          <w:rFonts w:ascii="Times New Roman" w:hAnsi="Times New Roman" w:cs="Times New Roman"/>
          <w:b/>
          <w:color w:val="000000"/>
          <w:sz w:val="24"/>
          <w:szCs w:val="24"/>
        </w:rPr>
        <w:tab/>
        <w:t>İLK RUHSAT TARİHİ/RUHSAT YENİLEME TARİHİ</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İlk ruhsat tarihi: 24.11.2006</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Ruhsat yenileme tarihi: 24.11.2011</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highlight w:val="yellow"/>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10.</w:t>
      </w:r>
      <w:r w:rsidRPr="006E16EB">
        <w:rPr>
          <w:rFonts w:ascii="Times New Roman" w:hAnsi="Times New Roman" w:cs="Times New Roman"/>
          <w:b/>
          <w:color w:val="000000"/>
          <w:sz w:val="24"/>
          <w:szCs w:val="24"/>
        </w:rPr>
        <w:tab/>
        <w:t xml:space="preserve"> KÜB'ÜN YENİLENME TARİHİ</w:t>
      </w:r>
    </w:p>
    <w:p w:rsidR="00C95123" w:rsidRPr="006E16EB" w:rsidRDefault="00C95123" w:rsidP="00FA660C">
      <w:pPr>
        <w:pStyle w:val="Default"/>
        <w:tabs>
          <w:tab w:val="left" w:pos="142"/>
        </w:tabs>
        <w:spacing w:line="360" w:lineRule="auto"/>
        <w:jc w:val="both"/>
        <w:rPr>
          <w:rFonts w:ascii="Times New Roman" w:hAnsi="Times New Roman" w:cs="Times New Roman"/>
          <w:color w:val="FF0000"/>
        </w:rPr>
      </w:pPr>
    </w:p>
    <w:sectPr w:rsidR="00C95123" w:rsidRPr="006E16EB" w:rsidSect="00C95123">
      <w:footerReference w:type="default" r:id="rId8"/>
      <w:pgSz w:w="11907" w:h="16840" w:code="9"/>
      <w:pgMar w:top="1157" w:right="1230" w:bottom="249" w:left="172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C26" w:rsidRPr="00C95123" w:rsidRDefault="00C26C26" w:rsidP="00C95123">
      <w:pPr>
        <w:spacing w:after="0" w:line="240" w:lineRule="auto"/>
      </w:pPr>
      <w:r>
        <w:separator/>
      </w:r>
    </w:p>
  </w:endnote>
  <w:endnote w:type="continuationSeparator" w:id="0">
    <w:p w:rsidR="00C26C26" w:rsidRPr="00C95123" w:rsidRDefault="00C26C26" w:rsidP="00C95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4938"/>
      <w:docPartObj>
        <w:docPartGallery w:val="Page Numbers (Bottom of Page)"/>
        <w:docPartUnique/>
      </w:docPartObj>
    </w:sdtPr>
    <w:sdtContent>
      <w:p w:rsidR="006E16EB" w:rsidRDefault="00545174">
        <w:pPr>
          <w:pStyle w:val="Altbilgi"/>
          <w:jc w:val="right"/>
        </w:pPr>
        <w:fldSimple w:instr=" PAGE   \* MERGEFORMAT ">
          <w:r w:rsidR="00A70D85">
            <w:rPr>
              <w:noProof/>
            </w:rPr>
            <w:t>10</w:t>
          </w:r>
        </w:fldSimple>
      </w:p>
    </w:sdtContent>
  </w:sdt>
  <w:p w:rsidR="006E16EB" w:rsidRDefault="006E16E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C26" w:rsidRPr="00C95123" w:rsidRDefault="00C26C26" w:rsidP="00C95123">
      <w:pPr>
        <w:spacing w:after="0" w:line="240" w:lineRule="auto"/>
      </w:pPr>
      <w:r>
        <w:separator/>
      </w:r>
    </w:p>
  </w:footnote>
  <w:footnote w:type="continuationSeparator" w:id="0">
    <w:p w:rsidR="00C26C26" w:rsidRPr="00C95123" w:rsidRDefault="00C26C26" w:rsidP="00C95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1739B"/>
    <w:multiLevelType w:val="hybridMultilevel"/>
    <w:tmpl w:val="1EA3B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1215A6"/>
    <w:multiLevelType w:val="hybridMultilevel"/>
    <w:tmpl w:val="475A06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C738C6"/>
    <w:multiLevelType w:val="hybridMultilevel"/>
    <w:tmpl w:val="D5BC2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DACC2B4"/>
    <w:multiLevelType w:val="hybridMultilevel"/>
    <w:tmpl w:val="D8C6B7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885611"/>
    <w:rsid w:val="000440BA"/>
    <w:rsid w:val="0007203B"/>
    <w:rsid w:val="000B571A"/>
    <w:rsid w:val="000B7B24"/>
    <w:rsid w:val="000D6C39"/>
    <w:rsid w:val="000E7D31"/>
    <w:rsid w:val="00101188"/>
    <w:rsid w:val="00101A27"/>
    <w:rsid w:val="001224AA"/>
    <w:rsid w:val="001254CC"/>
    <w:rsid w:val="00141FF1"/>
    <w:rsid w:val="001B2ACA"/>
    <w:rsid w:val="00295BE8"/>
    <w:rsid w:val="002B3EB8"/>
    <w:rsid w:val="002F542A"/>
    <w:rsid w:val="003C4905"/>
    <w:rsid w:val="00447A17"/>
    <w:rsid w:val="00452DD3"/>
    <w:rsid w:val="0047337F"/>
    <w:rsid w:val="00483A55"/>
    <w:rsid w:val="004B1856"/>
    <w:rsid w:val="00543D47"/>
    <w:rsid w:val="00545174"/>
    <w:rsid w:val="005D0E0C"/>
    <w:rsid w:val="00622482"/>
    <w:rsid w:val="006268A6"/>
    <w:rsid w:val="006774FC"/>
    <w:rsid w:val="006828CA"/>
    <w:rsid w:val="006B2F02"/>
    <w:rsid w:val="006E16EB"/>
    <w:rsid w:val="007123EC"/>
    <w:rsid w:val="00765413"/>
    <w:rsid w:val="008063F3"/>
    <w:rsid w:val="00812F06"/>
    <w:rsid w:val="00821478"/>
    <w:rsid w:val="008269AF"/>
    <w:rsid w:val="00830018"/>
    <w:rsid w:val="008557C9"/>
    <w:rsid w:val="0087081F"/>
    <w:rsid w:val="00885611"/>
    <w:rsid w:val="008F33FE"/>
    <w:rsid w:val="009D08E5"/>
    <w:rsid w:val="009E44F1"/>
    <w:rsid w:val="00A1009C"/>
    <w:rsid w:val="00A25FB6"/>
    <w:rsid w:val="00A47070"/>
    <w:rsid w:val="00A53148"/>
    <w:rsid w:val="00A70D85"/>
    <w:rsid w:val="00B1130E"/>
    <w:rsid w:val="00B362F1"/>
    <w:rsid w:val="00B47873"/>
    <w:rsid w:val="00B53253"/>
    <w:rsid w:val="00B74452"/>
    <w:rsid w:val="00C26C26"/>
    <w:rsid w:val="00C54087"/>
    <w:rsid w:val="00C95123"/>
    <w:rsid w:val="00CF12AB"/>
    <w:rsid w:val="00CF2330"/>
    <w:rsid w:val="00D47E21"/>
    <w:rsid w:val="00D56E64"/>
    <w:rsid w:val="00D82067"/>
    <w:rsid w:val="00E415CB"/>
    <w:rsid w:val="00E74F97"/>
    <w:rsid w:val="00EB2BF1"/>
    <w:rsid w:val="00EB6452"/>
    <w:rsid w:val="00EC267D"/>
    <w:rsid w:val="00EC507A"/>
    <w:rsid w:val="00F02874"/>
    <w:rsid w:val="00F332C8"/>
    <w:rsid w:val="00F4031F"/>
    <w:rsid w:val="00F50E1C"/>
    <w:rsid w:val="00F627A7"/>
    <w:rsid w:val="00F65867"/>
    <w:rsid w:val="00F73579"/>
    <w:rsid w:val="00FA3526"/>
    <w:rsid w:val="00FA660C"/>
    <w:rsid w:val="00FC2C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1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85611"/>
    <w:pPr>
      <w:widowControl w:val="0"/>
      <w:autoSpaceDE w:val="0"/>
      <w:autoSpaceDN w:val="0"/>
      <w:adjustRightInd w:val="0"/>
      <w:spacing w:after="0" w:line="240" w:lineRule="auto"/>
    </w:pPr>
    <w:rPr>
      <w:rFonts w:ascii="Times" w:eastAsiaTheme="minorEastAsia" w:hAnsi="Times" w:cs="Times"/>
      <w:color w:val="000000"/>
      <w:sz w:val="24"/>
      <w:szCs w:val="24"/>
      <w:lang w:eastAsia="tr-TR"/>
    </w:rPr>
  </w:style>
  <w:style w:type="paragraph" w:customStyle="1" w:styleId="CM18">
    <w:name w:val="CM18"/>
    <w:basedOn w:val="Default"/>
    <w:next w:val="Default"/>
    <w:uiPriority w:val="99"/>
    <w:rsid w:val="00885611"/>
    <w:rPr>
      <w:color w:val="auto"/>
    </w:rPr>
  </w:style>
  <w:style w:type="paragraph" w:customStyle="1" w:styleId="CM1">
    <w:name w:val="CM1"/>
    <w:basedOn w:val="Default"/>
    <w:next w:val="Default"/>
    <w:uiPriority w:val="99"/>
    <w:rsid w:val="00885611"/>
    <w:pPr>
      <w:spacing w:line="373" w:lineRule="atLeast"/>
    </w:pPr>
    <w:rPr>
      <w:color w:val="auto"/>
    </w:rPr>
  </w:style>
  <w:style w:type="paragraph" w:customStyle="1" w:styleId="CM19">
    <w:name w:val="CM19"/>
    <w:basedOn w:val="Default"/>
    <w:next w:val="Default"/>
    <w:uiPriority w:val="99"/>
    <w:rsid w:val="00885611"/>
    <w:rPr>
      <w:color w:val="auto"/>
    </w:rPr>
  </w:style>
  <w:style w:type="paragraph" w:customStyle="1" w:styleId="CM3">
    <w:name w:val="CM3"/>
    <w:basedOn w:val="Default"/>
    <w:next w:val="Default"/>
    <w:uiPriority w:val="99"/>
    <w:rsid w:val="00885611"/>
    <w:pPr>
      <w:spacing w:line="373" w:lineRule="atLeast"/>
    </w:pPr>
    <w:rPr>
      <w:color w:val="auto"/>
    </w:rPr>
  </w:style>
  <w:style w:type="paragraph" w:customStyle="1" w:styleId="CM20">
    <w:name w:val="CM20"/>
    <w:basedOn w:val="Default"/>
    <w:next w:val="Default"/>
    <w:uiPriority w:val="99"/>
    <w:rsid w:val="00885611"/>
    <w:rPr>
      <w:color w:val="auto"/>
    </w:rPr>
  </w:style>
  <w:style w:type="paragraph" w:customStyle="1" w:styleId="CM4">
    <w:name w:val="CM4"/>
    <w:basedOn w:val="Default"/>
    <w:next w:val="Default"/>
    <w:uiPriority w:val="99"/>
    <w:rsid w:val="00885611"/>
    <w:pPr>
      <w:spacing w:line="260" w:lineRule="atLeast"/>
    </w:pPr>
    <w:rPr>
      <w:color w:val="auto"/>
    </w:rPr>
  </w:style>
  <w:style w:type="paragraph" w:customStyle="1" w:styleId="CM21">
    <w:name w:val="CM21"/>
    <w:basedOn w:val="Default"/>
    <w:next w:val="Default"/>
    <w:uiPriority w:val="99"/>
    <w:rsid w:val="00885611"/>
    <w:rPr>
      <w:color w:val="auto"/>
    </w:rPr>
  </w:style>
  <w:style w:type="paragraph" w:customStyle="1" w:styleId="CM22">
    <w:name w:val="CM22"/>
    <w:basedOn w:val="Default"/>
    <w:next w:val="Default"/>
    <w:uiPriority w:val="99"/>
    <w:rsid w:val="00885611"/>
    <w:rPr>
      <w:color w:val="auto"/>
    </w:rPr>
  </w:style>
  <w:style w:type="paragraph" w:customStyle="1" w:styleId="CM6">
    <w:name w:val="CM6"/>
    <w:basedOn w:val="Default"/>
    <w:next w:val="Default"/>
    <w:uiPriority w:val="99"/>
    <w:rsid w:val="00885611"/>
    <w:pPr>
      <w:spacing w:line="260" w:lineRule="atLeast"/>
    </w:pPr>
    <w:rPr>
      <w:color w:val="auto"/>
    </w:rPr>
  </w:style>
  <w:style w:type="paragraph" w:customStyle="1" w:styleId="CM7">
    <w:name w:val="CM7"/>
    <w:basedOn w:val="Default"/>
    <w:next w:val="Default"/>
    <w:uiPriority w:val="99"/>
    <w:rsid w:val="00885611"/>
    <w:rPr>
      <w:color w:val="auto"/>
    </w:rPr>
  </w:style>
  <w:style w:type="paragraph" w:customStyle="1" w:styleId="CM9">
    <w:name w:val="CM9"/>
    <w:basedOn w:val="Default"/>
    <w:next w:val="Default"/>
    <w:uiPriority w:val="99"/>
    <w:rsid w:val="00885611"/>
    <w:pPr>
      <w:spacing w:line="260" w:lineRule="atLeast"/>
    </w:pPr>
    <w:rPr>
      <w:color w:val="auto"/>
    </w:rPr>
  </w:style>
  <w:style w:type="paragraph" w:customStyle="1" w:styleId="CM10">
    <w:name w:val="CM10"/>
    <w:basedOn w:val="Default"/>
    <w:next w:val="Default"/>
    <w:uiPriority w:val="99"/>
    <w:rsid w:val="00885611"/>
    <w:pPr>
      <w:spacing w:line="260" w:lineRule="atLeast"/>
    </w:pPr>
    <w:rPr>
      <w:color w:val="auto"/>
    </w:rPr>
  </w:style>
  <w:style w:type="paragraph" w:customStyle="1" w:styleId="CM12">
    <w:name w:val="CM12"/>
    <w:basedOn w:val="Default"/>
    <w:next w:val="Default"/>
    <w:uiPriority w:val="99"/>
    <w:rsid w:val="00885611"/>
    <w:pPr>
      <w:spacing w:line="260" w:lineRule="atLeast"/>
    </w:pPr>
    <w:rPr>
      <w:color w:val="auto"/>
    </w:rPr>
  </w:style>
  <w:style w:type="paragraph" w:customStyle="1" w:styleId="CM13">
    <w:name w:val="CM13"/>
    <w:basedOn w:val="Default"/>
    <w:next w:val="Default"/>
    <w:uiPriority w:val="99"/>
    <w:rsid w:val="00885611"/>
    <w:pPr>
      <w:spacing w:line="373" w:lineRule="atLeast"/>
    </w:pPr>
    <w:rPr>
      <w:color w:val="auto"/>
    </w:rPr>
  </w:style>
  <w:style w:type="paragraph" w:customStyle="1" w:styleId="CM23">
    <w:name w:val="CM23"/>
    <w:basedOn w:val="Default"/>
    <w:next w:val="Default"/>
    <w:uiPriority w:val="99"/>
    <w:rsid w:val="00885611"/>
    <w:rPr>
      <w:color w:val="auto"/>
    </w:rPr>
  </w:style>
  <w:style w:type="paragraph" w:customStyle="1" w:styleId="CM24">
    <w:name w:val="CM24"/>
    <w:basedOn w:val="Default"/>
    <w:next w:val="Default"/>
    <w:uiPriority w:val="99"/>
    <w:rsid w:val="00885611"/>
    <w:rPr>
      <w:color w:val="auto"/>
    </w:rPr>
  </w:style>
  <w:style w:type="paragraph" w:customStyle="1" w:styleId="CM17">
    <w:name w:val="CM17"/>
    <w:basedOn w:val="Default"/>
    <w:next w:val="Default"/>
    <w:uiPriority w:val="99"/>
    <w:rsid w:val="00885611"/>
    <w:pPr>
      <w:spacing w:line="316" w:lineRule="atLeast"/>
    </w:pPr>
    <w:rPr>
      <w:color w:val="auto"/>
    </w:rPr>
  </w:style>
  <w:style w:type="table" w:styleId="TabloKlavuzu">
    <w:name w:val="Table Grid"/>
    <w:basedOn w:val="NormalTablo"/>
    <w:uiPriority w:val="59"/>
    <w:rsid w:val="00806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951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95123"/>
    <w:rPr>
      <w:rFonts w:eastAsiaTheme="minorEastAsia"/>
      <w:lang w:eastAsia="tr-TR"/>
    </w:rPr>
  </w:style>
  <w:style w:type="paragraph" w:styleId="Altbilgi">
    <w:name w:val="footer"/>
    <w:basedOn w:val="Normal"/>
    <w:link w:val="AltbilgiChar"/>
    <w:uiPriority w:val="99"/>
    <w:unhideWhenUsed/>
    <w:rsid w:val="00C951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5123"/>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6856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8F3B3-AFDE-4393-A71F-4F98332D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15</Pages>
  <Words>4047</Words>
  <Characters>23073</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Sakdemir</dc:creator>
  <cp:keywords/>
  <dc:description/>
  <cp:lastModifiedBy>egungor</cp:lastModifiedBy>
  <cp:revision>45</cp:revision>
  <cp:lastPrinted>2012-03-26T11:06:00Z</cp:lastPrinted>
  <dcterms:created xsi:type="dcterms:W3CDTF">2012-03-22T12:51:00Z</dcterms:created>
  <dcterms:modified xsi:type="dcterms:W3CDTF">2014-08-26T08:20:00Z</dcterms:modified>
</cp:coreProperties>
</file>