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EEC" w:rsidRPr="007D47BE" w:rsidRDefault="001B1EEC" w:rsidP="00CB284A">
      <w:pPr>
        <w:spacing w:after="0"/>
        <w:jc w:val="center"/>
        <w:rPr>
          <w:rFonts w:ascii="Times New Roman" w:hAnsi="Times New Roman" w:cs="Times New Roman"/>
          <w:b/>
          <w:bCs/>
          <w:sz w:val="24"/>
          <w:szCs w:val="24"/>
        </w:rPr>
      </w:pPr>
      <w:r w:rsidRPr="007D47BE">
        <w:rPr>
          <w:rFonts w:ascii="Times New Roman" w:hAnsi="Times New Roman" w:cs="Times New Roman"/>
          <w:b/>
          <w:bCs/>
          <w:sz w:val="24"/>
          <w:szCs w:val="24"/>
        </w:rPr>
        <w:t>KISA ÜRÜN BİLGİSİ</w:t>
      </w:r>
    </w:p>
    <w:p w:rsidR="00CB284A" w:rsidRPr="007D47BE" w:rsidRDefault="00CB284A" w:rsidP="00CB284A">
      <w:pPr>
        <w:spacing w:after="0"/>
        <w:jc w:val="center"/>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1.</w:t>
      </w:r>
      <w:r w:rsidRPr="007D47BE">
        <w:rPr>
          <w:rFonts w:ascii="Times New Roman" w:hAnsi="Times New Roman" w:cs="Times New Roman"/>
          <w:b/>
          <w:bCs/>
          <w:sz w:val="24"/>
          <w:szCs w:val="24"/>
        </w:rPr>
        <w:tab/>
        <w:t>BEŞERİ TIBBİ ÜRÜNÜN ADI</w:t>
      </w:r>
    </w:p>
    <w:p w:rsidR="001B1EEC"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100 mg tablet</w:t>
      </w:r>
    </w:p>
    <w:p w:rsidR="00CB284A" w:rsidRPr="007D47BE" w:rsidRDefault="00CB284A" w:rsidP="00CB284A">
      <w:pPr>
        <w:spacing w:after="0"/>
        <w:jc w:val="both"/>
        <w:rPr>
          <w:rFonts w:ascii="Times New Roman" w:hAnsi="Times New Roman" w:cs="Times New Roman"/>
          <w:sz w:val="24"/>
          <w:szCs w:val="24"/>
        </w:rPr>
      </w:pPr>
    </w:p>
    <w:p w:rsidR="00CB284A" w:rsidRPr="007D47BE" w:rsidRDefault="001B1EEC" w:rsidP="00CB284A">
      <w:pPr>
        <w:spacing w:after="0"/>
        <w:rPr>
          <w:rFonts w:ascii="Times New Roman" w:hAnsi="Times New Roman" w:cs="Times New Roman"/>
          <w:b/>
          <w:bCs/>
          <w:sz w:val="24"/>
          <w:szCs w:val="24"/>
        </w:rPr>
      </w:pPr>
      <w:r w:rsidRPr="007D47BE">
        <w:rPr>
          <w:rFonts w:ascii="Times New Roman" w:hAnsi="Times New Roman" w:cs="Times New Roman"/>
          <w:b/>
          <w:bCs/>
          <w:sz w:val="24"/>
          <w:szCs w:val="24"/>
        </w:rPr>
        <w:t>2.</w:t>
      </w:r>
      <w:r w:rsidRPr="007D47BE">
        <w:rPr>
          <w:rFonts w:ascii="Times New Roman" w:hAnsi="Times New Roman" w:cs="Times New Roman"/>
          <w:b/>
          <w:bCs/>
          <w:sz w:val="24"/>
          <w:szCs w:val="24"/>
        </w:rPr>
        <w:tab/>
        <w:t>KALİTATİF VE KANTİTATİF BİLEŞİM</w:t>
      </w:r>
    </w:p>
    <w:p w:rsidR="001B1EEC" w:rsidRPr="007D47BE" w:rsidRDefault="001B1EEC" w:rsidP="00CB284A">
      <w:pPr>
        <w:spacing w:after="0"/>
        <w:rPr>
          <w:rFonts w:ascii="Times New Roman" w:hAnsi="Times New Roman" w:cs="Times New Roman"/>
          <w:sz w:val="24"/>
          <w:szCs w:val="24"/>
        </w:rPr>
      </w:pPr>
      <w:r w:rsidRPr="007D47BE">
        <w:rPr>
          <w:rFonts w:ascii="Times New Roman" w:hAnsi="Times New Roman" w:cs="Times New Roman"/>
          <w:b/>
          <w:bCs/>
          <w:sz w:val="24"/>
          <w:szCs w:val="24"/>
        </w:rPr>
        <w:t>Etkin madde:</w:t>
      </w:r>
    </w:p>
    <w:p w:rsidR="00CB284A"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Her bir tablet 100 mg akarboz içerir. </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Yardımcı maddeler: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Yardımcı maddeler için </w:t>
      </w:r>
      <w:proofErr w:type="gramStart"/>
      <w:r w:rsidRPr="007D47BE">
        <w:rPr>
          <w:rFonts w:ascii="Times New Roman" w:hAnsi="Times New Roman" w:cs="Times New Roman"/>
          <w:sz w:val="24"/>
          <w:szCs w:val="24"/>
        </w:rPr>
        <w:t>6.1'e</w:t>
      </w:r>
      <w:proofErr w:type="gramEnd"/>
      <w:r w:rsidRPr="007D47BE">
        <w:rPr>
          <w:rFonts w:ascii="Times New Roman" w:hAnsi="Times New Roman" w:cs="Times New Roman"/>
          <w:sz w:val="24"/>
          <w:szCs w:val="24"/>
        </w:rPr>
        <w:t xml:space="preserve"> bakınız.</w:t>
      </w:r>
    </w:p>
    <w:p w:rsidR="00CB284A" w:rsidRPr="007D47BE" w:rsidRDefault="00CB284A"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3.</w:t>
      </w:r>
      <w:r w:rsidRPr="007D47BE">
        <w:rPr>
          <w:rFonts w:ascii="Times New Roman" w:hAnsi="Times New Roman" w:cs="Times New Roman"/>
          <w:b/>
          <w:bCs/>
          <w:sz w:val="24"/>
          <w:szCs w:val="24"/>
        </w:rPr>
        <w:tab/>
        <w:t>FARMASÖTİK FORM</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Tablet</w:t>
      </w:r>
    </w:p>
    <w:p w:rsidR="00CB284A" w:rsidRPr="007D47BE" w:rsidRDefault="009A5468"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Beyaz renkli, yuvarlak, bir yüzü çentikli tablet</w:t>
      </w:r>
    </w:p>
    <w:p w:rsidR="009A5468" w:rsidRPr="007D47BE" w:rsidRDefault="009A5468"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4.</w:t>
      </w:r>
      <w:r w:rsidRPr="007D47BE">
        <w:rPr>
          <w:rFonts w:ascii="Times New Roman" w:hAnsi="Times New Roman" w:cs="Times New Roman"/>
          <w:b/>
          <w:bCs/>
          <w:sz w:val="24"/>
          <w:szCs w:val="24"/>
        </w:rPr>
        <w:tab/>
        <w:t>KLİNİK ÖZELLİKLER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4.1.</w:t>
      </w:r>
      <w:r w:rsidRPr="007D47BE">
        <w:rPr>
          <w:rFonts w:ascii="Times New Roman" w:hAnsi="Times New Roman" w:cs="Times New Roman"/>
          <w:b/>
          <w:bCs/>
          <w:sz w:val="24"/>
          <w:szCs w:val="24"/>
        </w:rPr>
        <w:tab/>
        <w:t>Terapötik endikasyonlar</w:t>
      </w:r>
    </w:p>
    <w:p w:rsidR="001B1EEC" w:rsidRPr="007D47BE" w:rsidRDefault="001B1EEC" w:rsidP="00CB284A">
      <w:pPr>
        <w:numPr>
          <w:ilvl w:val="0"/>
          <w:numId w:val="2"/>
        </w:numPr>
        <w:spacing w:after="0"/>
        <w:jc w:val="both"/>
        <w:rPr>
          <w:rFonts w:ascii="Times New Roman" w:hAnsi="Times New Roman" w:cs="Times New Roman"/>
          <w:sz w:val="24"/>
          <w:szCs w:val="24"/>
        </w:rPr>
      </w:pPr>
      <w:r w:rsidRPr="007D47BE">
        <w:rPr>
          <w:rFonts w:ascii="Times New Roman" w:hAnsi="Times New Roman" w:cs="Times New Roman"/>
          <w:sz w:val="24"/>
          <w:szCs w:val="24"/>
        </w:rPr>
        <w:t>Diabetes Mellitus hastalarının tedavisinde diyete ilave olarak kullanılır.</w:t>
      </w:r>
    </w:p>
    <w:p w:rsidR="001B1EEC" w:rsidRPr="007D47BE" w:rsidRDefault="001B1EEC" w:rsidP="00CB284A">
      <w:pPr>
        <w:numPr>
          <w:ilvl w:val="0"/>
          <w:numId w:val="2"/>
        </w:numPr>
        <w:spacing w:after="0"/>
        <w:jc w:val="both"/>
        <w:rPr>
          <w:rFonts w:ascii="Times New Roman" w:hAnsi="Times New Roman" w:cs="Times New Roman"/>
          <w:sz w:val="24"/>
          <w:szCs w:val="24"/>
        </w:rPr>
      </w:pPr>
      <w:r w:rsidRPr="007D47BE">
        <w:rPr>
          <w:rFonts w:ascii="Times New Roman" w:hAnsi="Times New Roman" w:cs="Times New Roman"/>
          <w:sz w:val="24"/>
          <w:szCs w:val="24"/>
        </w:rPr>
        <w:t>Bozulmuş glukoz toleransı tespit edilen hastalarda, tip 2 diyabet başlangıcının önlenmesinde, diyet ve egzersiz ile birlikte kullanılır.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Tokluk kan şekeri değerinin (2. saat) </w:t>
      </w:r>
      <w:proofErr w:type="gramStart"/>
      <w:r w:rsidRPr="007D47BE">
        <w:rPr>
          <w:rFonts w:ascii="Times New Roman" w:hAnsi="Times New Roman" w:cs="Times New Roman"/>
          <w:sz w:val="24"/>
          <w:szCs w:val="24"/>
        </w:rPr>
        <w:t>7.8</w:t>
      </w:r>
      <w:proofErr w:type="gramEnd"/>
      <w:r w:rsidRPr="007D47BE">
        <w:rPr>
          <w:rFonts w:ascii="Times New Roman" w:hAnsi="Times New Roman" w:cs="Times New Roman"/>
          <w:sz w:val="24"/>
          <w:szCs w:val="24"/>
        </w:rPr>
        <w:t xml:space="preserve"> ve 11.1 mmol/1 (140-200 mg/dl) arasında ve açlık kan şekeri değerinin 5.6 ve 7.0 mmol/1 (100-125 mg/dl) arasında olması, glukoz tolerans bozukluğu olarak tanımlanır.</w:t>
      </w:r>
    </w:p>
    <w:p w:rsidR="00CB284A" w:rsidRPr="007D47BE" w:rsidRDefault="00CB284A" w:rsidP="00CB284A">
      <w:pPr>
        <w:spacing w:after="0"/>
        <w:jc w:val="both"/>
        <w:rPr>
          <w:rFonts w:ascii="Times New Roman" w:hAnsi="Times New Roman" w:cs="Times New Roman"/>
          <w:sz w:val="24"/>
          <w:szCs w:val="24"/>
        </w:rPr>
      </w:pPr>
    </w:p>
    <w:p w:rsidR="00CB284A" w:rsidRPr="007D47BE" w:rsidRDefault="001B1EEC" w:rsidP="00CB284A">
      <w:pPr>
        <w:spacing w:after="0"/>
        <w:jc w:val="both"/>
        <w:rPr>
          <w:rFonts w:ascii="Times New Roman" w:hAnsi="Times New Roman" w:cs="Times New Roman"/>
          <w:b/>
          <w:bCs/>
          <w:sz w:val="24"/>
          <w:szCs w:val="24"/>
        </w:rPr>
      </w:pPr>
      <w:r w:rsidRPr="007D47BE">
        <w:rPr>
          <w:rFonts w:ascii="Times New Roman" w:hAnsi="Times New Roman" w:cs="Times New Roman"/>
          <w:b/>
          <w:bCs/>
          <w:sz w:val="24"/>
          <w:szCs w:val="24"/>
        </w:rPr>
        <w:t>4.2.</w:t>
      </w:r>
      <w:r w:rsidRPr="007D47BE">
        <w:rPr>
          <w:rFonts w:ascii="Times New Roman" w:hAnsi="Times New Roman" w:cs="Times New Roman"/>
          <w:b/>
          <w:bCs/>
          <w:sz w:val="24"/>
          <w:szCs w:val="24"/>
        </w:rPr>
        <w:tab/>
      </w:r>
      <w:r w:rsidR="00781381" w:rsidRPr="007D47BE">
        <w:rPr>
          <w:rFonts w:ascii="Times New Roman" w:hAnsi="Times New Roman" w:cs="Times New Roman"/>
          <w:b/>
          <w:bCs/>
          <w:sz w:val="24"/>
          <w:szCs w:val="24"/>
        </w:rPr>
        <w:t xml:space="preserve">Pozoloji </w:t>
      </w:r>
      <w:r w:rsidRPr="007D47BE">
        <w:rPr>
          <w:rFonts w:ascii="Times New Roman" w:hAnsi="Times New Roman" w:cs="Times New Roman"/>
          <w:b/>
          <w:bCs/>
          <w:sz w:val="24"/>
          <w:szCs w:val="24"/>
        </w:rPr>
        <w:t>ve uygulama şekli</w:t>
      </w:r>
    </w:p>
    <w:p w:rsidR="001B1EEC" w:rsidRPr="007D47BE" w:rsidRDefault="00781381"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Pozoloji/</w:t>
      </w:r>
      <w:r w:rsidR="001B1EEC" w:rsidRPr="007D47BE">
        <w:rPr>
          <w:rFonts w:ascii="Times New Roman" w:hAnsi="Times New Roman" w:cs="Times New Roman"/>
          <w:b/>
          <w:bCs/>
          <w:sz w:val="24"/>
          <w:szCs w:val="24"/>
        </w:rPr>
        <w:t xml:space="preserve">uygulama sıklığı </w:t>
      </w:r>
      <w:r w:rsidR="001B1EEC" w:rsidRPr="007D47BE">
        <w:rPr>
          <w:rFonts w:ascii="Times New Roman" w:hAnsi="Times New Roman" w:cs="Times New Roman"/>
          <w:b/>
          <w:sz w:val="24"/>
          <w:szCs w:val="24"/>
        </w:rPr>
        <w:t xml:space="preserve">ve </w:t>
      </w:r>
      <w:r w:rsidR="001B1EEC" w:rsidRPr="007D47BE">
        <w:rPr>
          <w:rFonts w:ascii="Times New Roman" w:hAnsi="Times New Roman" w:cs="Times New Roman"/>
          <w:b/>
          <w:bCs/>
          <w:sz w:val="24"/>
          <w:szCs w:val="24"/>
        </w:rPr>
        <w:t>süresi:</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Diabetes mellitus hastalarında diyetle birlikte ilave tedavi için önerilen alışılmış doz:</w:t>
      </w:r>
    </w:p>
    <w:p w:rsidR="00781381" w:rsidRPr="007D47BE" w:rsidRDefault="00781381"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Etkinlik ve tolere edilebilirlik kişiler arasında değişebilir olduğundan, dozaj her hastanın durumuna göre hekim tarafından ayarlanır.</w:t>
      </w:r>
    </w:p>
    <w:p w:rsidR="00781381" w:rsidRPr="007D47BE" w:rsidRDefault="00781381"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Aksi belirtilmedikçe aşağıdaki dozlar önerilir:</w:t>
      </w:r>
    </w:p>
    <w:p w:rsidR="00781381" w:rsidRPr="007D47BE" w:rsidRDefault="00781381" w:rsidP="00CB284A">
      <w:pPr>
        <w:spacing w:after="0"/>
        <w:jc w:val="both"/>
        <w:rPr>
          <w:rFonts w:ascii="Times New Roman" w:hAnsi="Times New Roman" w:cs="Times New Roman"/>
          <w:sz w:val="24"/>
          <w:szCs w:val="24"/>
        </w:rPr>
      </w:pPr>
    </w:p>
    <w:p w:rsidR="001B1EEC"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50 </w:t>
      </w:r>
      <w:proofErr w:type="gramStart"/>
      <w:r w:rsidR="001B1EEC" w:rsidRPr="007D47BE">
        <w:rPr>
          <w:rFonts w:ascii="Times New Roman" w:hAnsi="Times New Roman" w:cs="Times New Roman"/>
          <w:sz w:val="24"/>
          <w:szCs w:val="24"/>
        </w:rPr>
        <w:t>mg : 3</w:t>
      </w:r>
      <w:proofErr w:type="gramEnd"/>
      <w:r w:rsidR="001B1EEC" w:rsidRPr="007D47BE">
        <w:rPr>
          <w:rFonts w:ascii="Times New Roman" w:hAnsi="Times New Roman" w:cs="Times New Roman"/>
          <w:sz w:val="24"/>
          <w:szCs w:val="24"/>
        </w:rPr>
        <w:t xml:space="preserve"> x 1 tablet/gün</w:t>
      </w:r>
    </w:p>
    <w:p w:rsidR="001B1EEC"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100 </w:t>
      </w:r>
      <w:proofErr w:type="gramStart"/>
      <w:r w:rsidR="001B1EEC" w:rsidRPr="007D47BE">
        <w:rPr>
          <w:rFonts w:ascii="Times New Roman" w:hAnsi="Times New Roman" w:cs="Times New Roman"/>
          <w:sz w:val="24"/>
          <w:szCs w:val="24"/>
        </w:rPr>
        <w:t>mg : 3</w:t>
      </w:r>
      <w:proofErr w:type="gramEnd"/>
      <w:r w:rsidR="001B1EEC" w:rsidRPr="007D47BE">
        <w:rPr>
          <w:rFonts w:ascii="Times New Roman" w:hAnsi="Times New Roman" w:cs="Times New Roman"/>
          <w:sz w:val="24"/>
          <w:szCs w:val="24"/>
        </w:rPr>
        <w:t xml:space="preserve"> x 1/2 tablet/gün dozuyla başlanır;</w:t>
      </w:r>
    </w:p>
    <w:p w:rsidR="00781381" w:rsidRPr="007D47BE" w:rsidRDefault="00781381" w:rsidP="00CB284A">
      <w:pPr>
        <w:spacing w:after="0"/>
        <w:jc w:val="both"/>
        <w:rPr>
          <w:rFonts w:ascii="Times New Roman" w:hAnsi="Times New Roman" w:cs="Times New Roman"/>
          <w:sz w:val="24"/>
          <w:szCs w:val="24"/>
        </w:rPr>
      </w:pPr>
    </w:p>
    <w:p w:rsidR="001B1EEC"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50 </w:t>
      </w:r>
      <w:proofErr w:type="gramStart"/>
      <w:r w:rsidR="001B1EEC" w:rsidRPr="007D47BE">
        <w:rPr>
          <w:rFonts w:ascii="Times New Roman" w:hAnsi="Times New Roman" w:cs="Times New Roman"/>
          <w:sz w:val="24"/>
          <w:szCs w:val="24"/>
        </w:rPr>
        <w:t>mg : 3</w:t>
      </w:r>
      <w:proofErr w:type="gramEnd"/>
      <w:r w:rsidR="001B1EEC" w:rsidRPr="007D47BE">
        <w:rPr>
          <w:rFonts w:ascii="Times New Roman" w:hAnsi="Times New Roman" w:cs="Times New Roman"/>
          <w:sz w:val="24"/>
          <w:szCs w:val="24"/>
        </w:rPr>
        <w:t xml:space="preserve"> x 2 tablet/gün</w:t>
      </w:r>
    </w:p>
    <w:p w:rsidR="001B1EEC"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100 </w:t>
      </w:r>
      <w:proofErr w:type="gramStart"/>
      <w:r w:rsidR="001B1EEC" w:rsidRPr="007D47BE">
        <w:rPr>
          <w:rFonts w:ascii="Times New Roman" w:hAnsi="Times New Roman" w:cs="Times New Roman"/>
          <w:sz w:val="24"/>
          <w:szCs w:val="24"/>
        </w:rPr>
        <w:t>mg : 3</w:t>
      </w:r>
      <w:proofErr w:type="gramEnd"/>
      <w:r w:rsidR="001B1EEC" w:rsidRPr="007D47BE">
        <w:rPr>
          <w:rFonts w:ascii="Times New Roman" w:hAnsi="Times New Roman" w:cs="Times New Roman"/>
          <w:sz w:val="24"/>
          <w:szCs w:val="24"/>
        </w:rPr>
        <w:t xml:space="preserve"> x 1 tablet/gün dozuna kadar devam edilir.</w:t>
      </w:r>
    </w:p>
    <w:p w:rsidR="00781381" w:rsidRPr="007D47BE" w:rsidRDefault="00781381" w:rsidP="00CB284A">
      <w:pPr>
        <w:spacing w:after="0"/>
        <w:jc w:val="both"/>
        <w:rPr>
          <w:rFonts w:ascii="Times New Roman" w:hAnsi="Times New Roman" w:cs="Times New Roman"/>
          <w:sz w:val="24"/>
          <w:szCs w:val="24"/>
        </w:rPr>
      </w:pPr>
    </w:p>
    <w:p w:rsidR="00FF7404" w:rsidRPr="007D47BE" w:rsidRDefault="001B1EEC" w:rsidP="00CB284A">
      <w:pPr>
        <w:spacing w:after="0"/>
        <w:jc w:val="both"/>
        <w:rPr>
          <w:rFonts w:ascii="Times New Roman" w:hAnsi="Times New Roman" w:cs="Times New Roman"/>
          <w:sz w:val="24"/>
          <w:szCs w:val="24"/>
        </w:rPr>
        <w:sectPr w:rsidR="00FF7404" w:rsidRPr="007D47BE" w:rsidSect="00BC3519">
          <w:footerReference w:type="default" r:id="rId7"/>
          <w:pgSz w:w="11906" w:h="16838"/>
          <w:pgMar w:top="1417" w:right="1133" w:bottom="1417" w:left="1417" w:header="708" w:footer="708" w:gutter="0"/>
          <w:cols w:space="708"/>
          <w:docGrid w:linePitch="360"/>
        </w:sectPr>
      </w:pPr>
      <w:r w:rsidRPr="007D47BE">
        <w:rPr>
          <w:rFonts w:ascii="Times New Roman" w:hAnsi="Times New Roman" w:cs="Times New Roman"/>
          <w:sz w:val="24"/>
          <w:szCs w:val="24"/>
        </w:rPr>
        <w:t xml:space="preserve">Nadiren günlük akarboz dozunun 3x200 mg'a kadar yükseltilmesi gerekebilir. Doz 4-8 hafta sonra, hastalar tedavinin ileri aşamalarında yetersiz klinik cevap verdikleri takdirde arttırılabilir. Diyete kesin uymalarına rağmen istenmeyen </w:t>
      </w:r>
      <w:proofErr w:type="gramStart"/>
      <w:r w:rsidRPr="007D47BE">
        <w:rPr>
          <w:rFonts w:ascii="Times New Roman" w:hAnsi="Times New Roman" w:cs="Times New Roman"/>
          <w:sz w:val="24"/>
          <w:szCs w:val="24"/>
        </w:rPr>
        <w:t>şikayetler</w:t>
      </w:r>
      <w:proofErr w:type="gramEnd"/>
      <w:r w:rsidRPr="007D47BE">
        <w:rPr>
          <w:rFonts w:ascii="Times New Roman" w:hAnsi="Times New Roman" w:cs="Times New Roman"/>
          <w:sz w:val="24"/>
          <w:szCs w:val="24"/>
        </w:rPr>
        <w:t xml:space="preserve"> ortaya çıkarsa doz daha fazla arttırılmamalı, gerekirse bir miktar azaltılmalıdır. Ortalama günlük doz 300 mg </w:t>
      </w:r>
      <w:r w:rsidR="00840C34" w:rsidRPr="007D47BE">
        <w:rPr>
          <w:rFonts w:ascii="Times New Roman" w:hAnsi="Times New Roman" w:cs="Times New Roman"/>
          <w:sz w:val="24"/>
          <w:szCs w:val="24"/>
        </w:rPr>
        <w:t>OADOR</w:t>
      </w:r>
      <w:r w:rsidRPr="007D47BE">
        <w:rPr>
          <w:rFonts w:ascii="Times New Roman" w:hAnsi="Times New Roman" w:cs="Times New Roman"/>
          <w:sz w:val="24"/>
          <w:szCs w:val="24"/>
        </w:rPr>
        <w:t xml:space="preserve"> olup, 3x2 </w:t>
      </w:r>
      <w:r w:rsidR="00840C34" w:rsidRPr="007D47BE">
        <w:rPr>
          <w:rFonts w:ascii="Times New Roman" w:hAnsi="Times New Roman" w:cs="Times New Roman"/>
          <w:sz w:val="24"/>
          <w:szCs w:val="24"/>
        </w:rPr>
        <w:t>OADOR</w:t>
      </w:r>
      <w:r w:rsidRPr="007D47BE">
        <w:rPr>
          <w:rFonts w:ascii="Times New Roman" w:hAnsi="Times New Roman" w:cs="Times New Roman"/>
          <w:sz w:val="24"/>
          <w:szCs w:val="24"/>
        </w:rPr>
        <w:t xml:space="preserve"> 50 mg tablet'e ya da 3x1 </w:t>
      </w:r>
      <w:r w:rsidR="00840C34" w:rsidRPr="007D47BE">
        <w:rPr>
          <w:rFonts w:ascii="Times New Roman" w:hAnsi="Times New Roman" w:cs="Times New Roman"/>
          <w:sz w:val="24"/>
          <w:szCs w:val="24"/>
        </w:rPr>
        <w:t>OADOR</w:t>
      </w:r>
      <w:r w:rsidRPr="007D47BE">
        <w:rPr>
          <w:rFonts w:ascii="Times New Roman" w:hAnsi="Times New Roman" w:cs="Times New Roman"/>
          <w:sz w:val="24"/>
          <w:szCs w:val="24"/>
        </w:rPr>
        <w:t xml:space="preserve"> 100 mg/gün'e eşdeğerdir.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lastRenderedPageBreak/>
        <w:t>Bozulmuş glukoz toleransı tespit edilen hastalarda Tip 2 diyabetin önlenmesi için tavsiye edilen alışılmış doz:</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Önerilen doz: 3x100 mg</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Tedaviye 50 mg/gün ile başlanmalı ve 3 ay içinde 3x100 mg/gün'e arttırılmalıdır.</w:t>
      </w:r>
    </w:p>
    <w:p w:rsidR="00781381" w:rsidRPr="007D47BE" w:rsidRDefault="00781381" w:rsidP="00CB284A">
      <w:pPr>
        <w:spacing w:after="0"/>
        <w:jc w:val="both"/>
        <w:rPr>
          <w:rFonts w:ascii="Times New Roman" w:hAnsi="Times New Roman" w:cs="Times New Roman"/>
          <w:sz w:val="24"/>
          <w:szCs w:val="24"/>
        </w:rPr>
      </w:pPr>
    </w:p>
    <w:p w:rsidR="001B1EEC"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50 mg: 1x1 tablet/gün</w:t>
      </w:r>
    </w:p>
    <w:p w:rsidR="001B1EEC"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100 mg: 1x1/2 tablet/gün dozuyla başlanır;</w:t>
      </w:r>
    </w:p>
    <w:p w:rsidR="00781381" w:rsidRPr="007D47BE" w:rsidRDefault="00781381" w:rsidP="00CB284A">
      <w:pPr>
        <w:spacing w:after="0"/>
        <w:jc w:val="both"/>
        <w:rPr>
          <w:rFonts w:ascii="Times New Roman" w:hAnsi="Times New Roman" w:cs="Times New Roman"/>
          <w:sz w:val="24"/>
          <w:szCs w:val="24"/>
        </w:rPr>
      </w:pPr>
    </w:p>
    <w:p w:rsidR="001B1EEC"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50 mg: 3x2 tablet/gün</w:t>
      </w:r>
    </w:p>
    <w:p w:rsidR="00781381"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100 mg: 3x1 tablet/gün dozuna kadar devam edilir.</w:t>
      </w:r>
    </w:p>
    <w:p w:rsidR="00781381" w:rsidRPr="007D47BE" w:rsidRDefault="00781381" w:rsidP="00CB284A">
      <w:pPr>
        <w:spacing w:after="0"/>
        <w:jc w:val="both"/>
        <w:rPr>
          <w:rFonts w:ascii="Times New Roman" w:hAnsi="Times New Roman" w:cs="Times New Roman"/>
          <w:sz w:val="24"/>
          <w:szCs w:val="24"/>
        </w:rPr>
      </w:pPr>
    </w:p>
    <w:p w:rsidR="001B1EEC"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tabletlerin kullanımı için süre açısından herhangi bir kısıtlama yoktur.</w:t>
      </w:r>
    </w:p>
    <w:p w:rsidR="00781381" w:rsidRPr="007D47BE" w:rsidRDefault="00781381"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Uygulama şekli:</w:t>
      </w:r>
    </w:p>
    <w:p w:rsidR="001B1EEC"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tabletler yemekten önce bir miktar sıvı ile yutulmalıdır veya yemek sıras</w:t>
      </w:r>
      <w:r w:rsidR="008772B2" w:rsidRPr="007D47BE">
        <w:rPr>
          <w:rFonts w:ascii="Times New Roman" w:hAnsi="Times New Roman" w:cs="Times New Roman"/>
          <w:sz w:val="24"/>
          <w:szCs w:val="24"/>
        </w:rPr>
        <w:t>ın</w:t>
      </w:r>
      <w:r w:rsidR="001B1EEC" w:rsidRPr="007D47BE">
        <w:rPr>
          <w:rFonts w:ascii="Times New Roman" w:hAnsi="Times New Roman" w:cs="Times New Roman"/>
          <w:sz w:val="24"/>
          <w:szCs w:val="24"/>
        </w:rPr>
        <w:t>da ilk lokmalar ile çiğnenmelidir.</w:t>
      </w:r>
    </w:p>
    <w:p w:rsidR="00781381" w:rsidRPr="007D47BE" w:rsidRDefault="00781381" w:rsidP="00CB284A">
      <w:pPr>
        <w:spacing w:after="0"/>
        <w:jc w:val="both"/>
        <w:rPr>
          <w:rFonts w:ascii="Times New Roman" w:hAnsi="Times New Roman" w:cs="Times New Roman"/>
          <w:sz w:val="24"/>
          <w:szCs w:val="24"/>
        </w:rPr>
      </w:pPr>
    </w:p>
    <w:p w:rsidR="00781381" w:rsidRPr="007D47BE" w:rsidRDefault="001B1EEC" w:rsidP="00CB284A">
      <w:pPr>
        <w:spacing w:after="0"/>
        <w:jc w:val="both"/>
        <w:rPr>
          <w:rFonts w:ascii="Times New Roman" w:hAnsi="Times New Roman" w:cs="Times New Roman"/>
          <w:b/>
          <w:bCs/>
          <w:sz w:val="24"/>
          <w:szCs w:val="24"/>
        </w:rPr>
      </w:pPr>
      <w:r w:rsidRPr="007D47BE">
        <w:rPr>
          <w:rFonts w:ascii="Times New Roman" w:hAnsi="Times New Roman" w:cs="Times New Roman"/>
          <w:b/>
          <w:bCs/>
          <w:sz w:val="24"/>
          <w:szCs w:val="24"/>
        </w:rPr>
        <w:t xml:space="preserve">Özel </w:t>
      </w:r>
      <w:proofErr w:type="gramStart"/>
      <w:r w:rsidRPr="007D47BE">
        <w:rPr>
          <w:rFonts w:ascii="Times New Roman" w:hAnsi="Times New Roman" w:cs="Times New Roman"/>
          <w:b/>
          <w:bCs/>
          <w:sz w:val="24"/>
          <w:szCs w:val="24"/>
        </w:rPr>
        <w:t>popü</w:t>
      </w:r>
      <w:r w:rsidR="00781381" w:rsidRPr="007D47BE">
        <w:rPr>
          <w:rFonts w:ascii="Times New Roman" w:hAnsi="Times New Roman" w:cs="Times New Roman"/>
          <w:b/>
          <w:bCs/>
          <w:sz w:val="24"/>
          <w:szCs w:val="24"/>
        </w:rPr>
        <w:t>l</w:t>
      </w:r>
      <w:r w:rsidRPr="007D47BE">
        <w:rPr>
          <w:rFonts w:ascii="Times New Roman" w:hAnsi="Times New Roman" w:cs="Times New Roman"/>
          <w:b/>
          <w:bCs/>
          <w:sz w:val="24"/>
          <w:szCs w:val="24"/>
        </w:rPr>
        <w:t>asyonlara</w:t>
      </w:r>
      <w:proofErr w:type="gramEnd"/>
      <w:r w:rsidRPr="007D47BE">
        <w:rPr>
          <w:rFonts w:ascii="Times New Roman" w:hAnsi="Times New Roman" w:cs="Times New Roman"/>
          <w:b/>
          <w:bCs/>
          <w:sz w:val="24"/>
          <w:szCs w:val="24"/>
        </w:rPr>
        <w:t xml:space="preserve"> ilişkin ek bilgiler: </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Böbrek yetmezliği</w:t>
      </w:r>
      <w:r w:rsidRPr="007D47BE">
        <w:rPr>
          <w:rFonts w:ascii="Times New Roman" w:hAnsi="Times New Roman" w:cs="Times New Roman"/>
          <w:sz w:val="24"/>
          <w:szCs w:val="24"/>
        </w:rPr>
        <w:t>:</w:t>
      </w:r>
    </w:p>
    <w:p w:rsidR="00781381"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Ciddi böbrek yetmezliğinde kullanılmamalıdır. </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 xml:space="preserve">Geriyatrik </w:t>
      </w:r>
      <w:proofErr w:type="gramStart"/>
      <w:r w:rsidRPr="007D47BE">
        <w:rPr>
          <w:rFonts w:ascii="Times New Roman" w:hAnsi="Times New Roman" w:cs="Times New Roman"/>
          <w:b/>
          <w:bCs/>
          <w:sz w:val="24"/>
          <w:szCs w:val="24"/>
        </w:rPr>
        <w:t>popülasyon</w:t>
      </w:r>
      <w:proofErr w:type="gramEnd"/>
      <w:r w:rsidRPr="007D47BE">
        <w:rPr>
          <w:rFonts w:ascii="Times New Roman" w:hAnsi="Times New Roman" w:cs="Times New Roman"/>
          <w:b/>
          <w:bCs/>
          <w:sz w:val="24"/>
          <w:szCs w:val="24"/>
        </w:rPr>
        <w:t xml:space="preserve"> </w:t>
      </w:r>
      <w:r w:rsidRPr="007D47BE">
        <w:rPr>
          <w:rFonts w:ascii="Times New Roman" w:hAnsi="Times New Roman" w:cs="Times New Roman"/>
          <w:b/>
          <w:sz w:val="24"/>
          <w:szCs w:val="24"/>
        </w:rPr>
        <w:t>(65</w:t>
      </w:r>
      <w:r w:rsidRPr="007D47BE">
        <w:rPr>
          <w:rFonts w:ascii="Times New Roman" w:hAnsi="Times New Roman" w:cs="Times New Roman"/>
          <w:sz w:val="24"/>
          <w:szCs w:val="24"/>
        </w:rPr>
        <w:t xml:space="preserve"> </w:t>
      </w:r>
      <w:r w:rsidRPr="007D47BE">
        <w:rPr>
          <w:rFonts w:ascii="Times New Roman" w:hAnsi="Times New Roman" w:cs="Times New Roman"/>
          <w:b/>
          <w:bCs/>
          <w:sz w:val="24"/>
          <w:szCs w:val="24"/>
        </w:rPr>
        <w:t>yaş üzeri):</w:t>
      </w:r>
    </w:p>
    <w:p w:rsidR="00781381"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Doz ayarlamasına gerek yoktur. </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 xml:space="preserve">Pediyatrik </w:t>
      </w:r>
      <w:proofErr w:type="gramStart"/>
      <w:r w:rsidRPr="007D47BE">
        <w:rPr>
          <w:rFonts w:ascii="Times New Roman" w:hAnsi="Times New Roman" w:cs="Times New Roman"/>
          <w:b/>
          <w:bCs/>
          <w:sz w:val="24"/>
          <w:szCs w:val="24"/>
        </w:rPr>
        <w:t>popülasyon</w:t>
      </w:r>
      <w:proofErr w:type="gramEnd"/>
      <w:r w:rsidRPr="007D47BE">
        <w:rPr>
          <w:rFonts w:ascii="Times New Roman" w:hAnsi="Times New Roman" w:cs="Times New Roman"/>
          <w:b/>
          <w:bCs/>
          <w:sz w:val="24"/>
          <w:szCs w:val="24"/>
        </w:rPr>
        <w:t>:</w:t>
      </w:r>
    </w:p>
    <w:p w:rsidR="001B1EEC" w:rsidRPr="007D47BE" w:rsidRDefault="00CB284A"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'in güvenliliği ve etkinliği 18 yaş altı hastalarda saptanmamıştır. 18 yaşın altındaki çocuklarda kullanılmamalıdır.</w:t>
      </w:r>
    </w:p>
    <w:p w:rsidR="00CB284A" w:rsidRPr="007D47BE" w:rsidRDefault="00CB284A"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4.3</w:t>
      </w:r>
      <w:r w:rsidR="00781381" w:rsidRPr="007D47BE">
        <w:rPr>
          <w:rFonts w:ascii="Times New Roman" w:hAnsi="Times New Roman" w:cs="Times New Roman"/>
          <w:b/>
          <w:bCs/>
          <w:sz w:val="24"/>
          <w:szCs w:val="24"/>
        </w:rPr>
        <w:t>.</w:t>
      </w:r>
      <w:r w:rsidRPr="007D47BE">
        <w:rPr>
          <w:rFonts w:ascii="Times New Roman" w:hAnsi="Times New Roman" w:cs="Times New Roman"/>
          <w:b/>
          <w:bCs/>
          <w:sz w:val="24"/>
          <w:szCs w:val="24"/>
        </w:rPr>
        <w:tab/>
        <w:t>Kontrendikasyonlar</w:t>
      </w:r>
    </w:p>
    <w:p w:rsidR="001B1EEC" w:rsidRPr="007D47BE" w:rsidRDefault="001B1EEC" w:rsidP="00CB284A">
      <w:pPr>
        <w:numPr>
          <w:ilvl w:val="0"/>
          <w:numId w:val="3"/>
        </w:numPr>
        <w:spacing w:after="0"/>
        <w:jc w:val="both"/>
        <w:rPr>
          <w:rFonts w:ascii="Times New Roman" w:hAnsi="Times New Roman" w:cs="Times New Roman"/>
          <w:sz w:val="24"/>
          <w:szCs w:val="24"/>
        </w:rPr>
      </w:pPr>
      <w:r w:rsidRPr="007D47BE">
        <w:rPr>
          <w:rFonts w:ascii="Times New Roman" w:hAnsi="Times New Roman" w:cs="Times New Roman"/>
          <w:sz w:val="24"/>
          <w:szCs w:val="24"/>
        </w:rPr>
        <w:t>Akarboz ve/veya tablet içindeki herhangi bir maddeye karşı aşırı hassasiyet durumunda kullanılmaz.</w:t>
      </w:r>
    </w:p>
    <w:p w:rsidR="001B1EEC" w:rsidRPr="007D47BE" w:rsidRDefault="001B1EEC" w:rsidP="00CB284A">
      <w:pPr>
        <w:numPr>
          <w:ilvl w:val="0"/>
          <w:numId w:val="3"/>
        </w:numPr>
        <w:spacing w:after="0"/>
        <w:jc w:val="both"/>
        <w:rPr>
          <w:rFonts w:ascii="Times New Roman" w:hAnsi="Times New Roman" w:cs="Times New Roman"/>
          <w:sz w:val="24"/>
          <w:szCs w:val="24"/>
        </w:rPr>
      </w:pPr>
      <w:r w:rsidRPr="007D47BE">
        <w:rPr>
          <w:rFonts w:ascii="Times New Roman" w:hAnsi="Times New Roman" w:cs="Times New Roman"/>
          <w:sz w:val="24"/>
          <w:szCs w:val="24"/>
        </w:rPr>
        <w:t>Sindirim ve absorbsiyon bozuklukları ile birlikte görülen kronik intestinal bozukluklarda kullanılmamalıdır.</w:t>
      </w:r>
    </w:p>
    <w:p w:rsidR="001B1EEC" w:rsidRPr="007D47BE" w:rsidRDefault="001B1EEC" w:rsidP="00CB284A">
      <w:pPr>
        <w:numPr>
          <w:ilvl w:val="0"/>
          <w:numId w:val="1"/>
        </w:numPr>
        <w:spacing w:after="0"/>
        <w:jc w:val="both"/>
        <w:rPr>
          <w:rFonts w:ascii="Times New Roman" w:hAnsi="Times New Roman" w:cs="Times New Roman"/>
          <w:sz w:val="24"/>
          <w:szCs w:val="24"/>
        </w:rPr>
      </w:pPr>
      <w:r w:rsidRPr="007D47BE">
        <w:rPr>
          <w:rFonts w:ascii="Times New Roman" w:hAnsi="Times New Roman" w:cs="Times New Roman"/>
          <w:sz w:val="24"/>
          <w:szCs w:val="24"/>
        </w:rPr>
        <w:t>Karaciğer sirozu.</w:t>
      </w:r>
    </w:p>
    <w:p w:rsidR="001B1EEC" w:rsidRPr="007D47BE" w:rsidRDefault="001B1EEC" w:rsidP="00CB284A">
      <w:pPr>
        <w:numPr>
          <w:ilvl w:val="0"/>
          <w:numId w:val="1"/>
        </w:num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İnce bağırsaklarda gaz oluşumunun arttığı durumlarda kontrendikedir (Roemheld's </w:t>
      </w:r>
      <w:proofErr w:type="gramStart"/>
      <w:r w:rsidRPr="007D47BE">
        <w:rPr>
          <w:rFonts w:ascii="Times New Roman" w:hAnsi="Times New Roman" w:cs="Times New Roman"/>
          <w:sz w:val="24"/>
          <w:szCs w:val="24"/>
        </w:rPr>
        <w:t>sendromu</w:t>
      </w:r>
      <w:proofErr w:type="gramEnd"/>
      <w:r w:rsidRPr="007D47BE">
        <w:rPr>
          <w:rFonts w:ascii="Times New Roman" w:hAnsi="Times New Roman" w:cs="Times New Roman"/>
          <w:sz w:val="24"/>
          <w:szCs w:val="24"/>
        </w:rPr>
        <w:t>, majör fıtık, bağırsak tıkanması, bağırsak ülserleri gibi).</w:t>
      </w:r>
    </w:p>
    <w:p w:rsidR="001B1EEC" w:rsidRPr="007D47BE" w:rsidRDefault="001B1EEC" w:rsidP="00CB284A">
      <w:pPr>
        <w:numPr>
          <w:ilvl w:val="0"/>
          <w:numId w:val="1"/>
        </w:num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Ciddi böbrek yetmezliği olan (kreatinin klerensi &lt; 25 ml/dakika) hastalarda </w:t>
      </w:r>
      <w:r w:rsidR="00840C34" w:rsidRPr="007D47BE">
        <w:rPr>
          <w:rFonts w:ascii="Times New Roman" w:hAnsi="Times New Roman" w:cs="Times New Roman"/>
          <w:sz w:val="24"/>
          <w:szCs w:val="24"/>
        </w:rPr>
        <w:t>OADOR</w:t>
      </w:r>
      <w:r w:rsidRPr="007D47BE">
        <w:rPr>
          <w:rFonts w:ascii="Times New Roman" w:hAnsi="Times New Roman" w:cs="Times New Roman"/>
          <w:sz w:val="24"/>
          <w:szCs w:val="24"/>
        </w:rPr>
        <w:t xml:space="preserve"> kullanımı kontrendikedir.</w:t>
      </w:r>
    </w:p>
    <w:p w:rsidR="00CB284A" w:rsidRPr="007D47BE" w:rsidRDefault="00CB284A" w:rsidP="00CB284A">
      <w:pPr>
        <w:numPr>
          <w:ilvl w:val="0"/>
          <w:numId w:val="1"/>
        </w:num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4.4</w:t>
      </w:r>
      <w:r w:rsidR="00781381" w:rsidRPr="007D47BE">
        <w:rPr>
          <w:rFonts w:ascii="Times New Roman" w:hAnsi="Times New Roman" w:cs="Times New Roman"/>
          <w:b/>
          <w:bCs/>
          <w:sz w:val="24"/>
          <w:szCs w:val="24"/>
        </w:rPr>
        <w:t>.</w:t>
      </w:r>
      <w:r w:rsidRPr="007D47BE">
        <w:rPr>
          <w:rFonts w:ascii="Times New Roman" w:hAnsi="Times New Roman" w:cs="Times New Roman"/>
          <w:b/>
          <w:bCs/>
          <w:sz w:val="24"/>
          <w:szCs w:val="24"/>
        </w:rPr>
        <w:tab/>
        <w:t>Özel kullanım uyarıları ve önlemleri</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Bilhassa daha yüksek dozlarda izole olgu olarak karaciğer enzimlerinde asemptomatik yükselmeler görülebilir. Bu nedenle tedavinin ilk 6-12 ayında karaciğer enzimleri izlenmelidir. Değerlendirilebilen olgularda </w:t>
      </w:r>
      <w:r w:rsidR="00840C34" w:rsidRPr="007D47BE">
        <w:rPr>
          <w:rFonts w:ascii="Times New Roman" w:hAnsi="Times New Roman" w:cs="Times New Roman"/>
          <w:sz w:val="24"/>
          <w:szCs w:val="24"/>
        </w:rPr>
        <w:t>OADOR</w:t>
      </w:r>
      <w:r w:rsidRPr="007D47BE">
        <w:rPr>
          <w:rFonts w:ascii="Times New Roman" w:hAnsi="Times New Roman" w:cs="Times New Roman"/>
          <w:sz w:val="24"/>
          <w:szCs w:val="24"/>
        </w:rPr>
        <w:t xml:space="preserve"> tedavisi kesildiğinde bu değişikliklerin geriye döndüğü görülmüştür.</w:t>
      </w:r>
    </w:p>
    <w:p w:rsidR="00FF7404"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w:t>
      </w:r>
      <w:r w:rsidR="00781381" w:rsidRPr="007D47BE">
        <w:rPr>
          <w:rFonts w:ascii="Times New Roman" w:hAnsi="Times New Roman" w:cs="Times New Roman"/>
          <w:sz w:val="24"/>
          <w:szCs w:val="24"/>
        </w:rPr>
        <w:t>u</w:t>
      </w:r>
      <w:r w:rsidR="001B1EEC" w:rsidRPr="007D47BE">
        <w:rPr>
          <w:rFonts w:ascii="Times New Roman" w:hAnsi="Times New Roman" w:cs="Times New Roman"/>
          <w:sz w:val="24"/>
          <w:szCs w:val="24"/>
        </w:rPr>
        <w:t>n güvenliliği ve etkinliği 18 yaş altı hastalarda saptanmamıştır.</w:t>
      </w:r>
    </w:p>
    <w:p w:rsidR="00FF7404" w:rsidRPr="007D47BE" w:rsidRDefault="00FF7404" w:rsidP="00CB284A">
      <w:pPr>
        <w:spacing w:after="0"/>
        <w:jc w:val="both"/>
        <w:rPr>
          <w:rFonts w:ascii="Times New Roman" w:hAnsi="Times New Roman" w:cs="Times New Roman"/>
          <w:sz w:val="24"/>
          <w:szCs w:val="24"/>
        </w:rPr>
        <w:sectPr w:rsidR="00FF7404" w:rsidRPr="007D47BE" w:rsidSect="00BC3519">
          <w:pgSz w:w="11906" w:h="16838"/>
          <w:pgMar w:top="1417" w:right="1133" w:bottom="1417" w:left="1417" w:header="708" w:footer="708" w:gutter="0"/>
          <w:cols w:space="708"/>
          <w:docGrid w:linePitch="360"/>
        </w:sectPr>
      </w:pPr>
    </w:p>
    <w:p w:rsidR="001B1EEC" w:rsidRPr="007D47BE" w:rsidRDefault="00CB284A"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lastRenderedPageBreak/>
        <w:t>4.5.</w:t>
      </w:r>
      <w:r w:rsidRPr="007D47BE">
        <w:rPr>
          <w:rFonts w:ascii="Times New Roman" w:hAnsi="Times New Roman" w:cs="Times New Roman"/>
          <w:b/>
          <w:bCs/>
          <w:sz w:val="24"/>
          <w:szCs w:val="24"/>
        </w:rPr>
        <w:tab/>
      </w:r>
      <w:r w:rsidR="001B1EEC" w:rsidRPr="007D47BE">
        <w:rPr>
          <w:rFonts w:ascii="Times New Roman" w:hAnsi="Times New Roman" w:cs="Times New Roman"/>
          <w:b/>
          <w:bCs/>
          <w:sz w:val="24"/>
          <w:szCs w:val="24"/>
        </w:rPr>
        <w:t>Diğer tıbbi ürünler ile etkileşimler ve diğer etkileşim şekilleri</w:t>
      </w:r>
    </w:p>
    <w:p w:rsidR="001B1EEC"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tablet ile tedavi sırasında, kolonda karbonhidrat fermentasyonunda artış</w:t>
      </w:r>
      <w:r w:rsidR="00781381" w:rsidRPr="007D47BE">
        <w:rPr>
          <w:rFonts w:ascii="Times New Roman" w:hAnsi="Times New Roman" w:cs="Times New Roman"/>
          <w:sz w:val="24"/>
          <w:szCs w:val="24"/>
        </w:rPr>
        <w:t>ın</w:t>
      </w:r>
      <w:r w:rsidR="001B1EEC" w:rsidRPr="007D47BE">
        <w:rPr>
          <w:rFonts w:ascii="Times New Roman" w:hAnsi="Times New Roman" w:cs="Times New Roman"/>
          <w:sz w:val="24"/>
          <w:szCs w:val="24"/>
        </w:rPr>
        <w:t xml:space="preserve"> bir sonucu olarak sukroz ve sukroz içeren yiyecekler sıklıkla abdominal rahatsızlığa veya diyareye neden olurlar. </w:t>
      </w: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antihiperglisemik etkiye sahiptir, fakat hipoglisemi oluşturmaz.</w:t>
      </w:r>
    </w:p>
    <w:p w:rsidR="00781381" w:rsidRPr="007D47BE" w:rsidRDefault="00781381"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Eğer </w:t>
      </w:r>
      <w:r w:rsidR="00CB284A" w:rsidRPr="007D47BE">
        <w:rPr>
          <w:rFonts w:ascii="Times New Roman" w:hAnsi="Times New Roman" w:cs="Times New Roman"/>
          <w:sz w:val="24"/>
          <w:szCs w:val="24"/>
        </w:rPr>
        <w:t>OADOR</w:t>
      </w:r>
      <w:r w:rsidRPr="007D47BE">
        <w:rPr>
          <w:rFonts w:ascii="Times New Roman" w:hAnsi="Times New Roman" w:cs="Times New Roman"/>
          <w:sz w:val="24"/>
          <w:szCs w:val="24"/>
        </w:rPr>
        <w:t>, sülfonilüre veya metformin içeren ilaçlara ve insüline ek olarak tavsiye</w:t>
      </w:r>
      <w:r w:rsidR="00CB284A" w:rsidRPr="007D47BE">
        <w:rPr>
          <w:rFonts w:ascii="Times New Roman" w:hAnsi="Times New Roman" w:cs="Times New Roman"/>
          <w:sz w:val="24"/>
          <w:szCs w:val="24"/>
        </w:rPr>
        <w:t xml:space="preserve"> </w:t>
      </w:r>
      <w:r w:rsidRPr="007D47BE">
        <w:rPr>
          <w:rFonts w:ascii="Times New Roman" w:hAnsi="Times New Roman" w:cs="Times New Roman"/>
          <w:sz w:val="24"/>
          <w:szCs w:val="24"/>
        </w:rPr>
        <w:t>edilirse, kan glukoz düzeylerinin hipoglisemik aralığa kadar düşmesini önlemek için sülfonilüre,</w:t>
      </w:r>
      <w:r w:rsidR="00CB284A" w:rsidRPr="007D47BE">
        <w:rPr>
          <w:rFonts w:ascii="Times New Roman" w:hAnsi="Times New Roman" w:cs="Times New Roman"/>
          <w:sz w:val="24"/>
          <w:szCs w:val="24"/>
        </w:rPr>
        <w:t xml:space="preserve"> </w:t>
      </w:r>
      <w:r w:rsidRPr="007D47BE">
        <w:rPr>
          <w:rFonts w:ascii="Times New Roman" w:hAnsi="Times New Roman" w:cs="Times New Roman"/>
          <w:sz w:val="24"/>
          <w:szCs w:val="24"/>
        </w:rPr>
        <w:t>metformin veya insulin dozunun uygun şekilde azaltılması gereklidir.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İzole vakalarda hipoglisemik şok görülebilir.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Eğer akut hipoglisemi gelişirse, </w:t>
      </w:r>
      <w:r w:rsidR="00840C34" w:rsidRPr="007D47BE">
        <w:rPr>
          <w:rFonts w:ascii="Times New Roman" w:hAnsi="Times New Roman" w:cs="Times New Roman"/>
          <w:sz w:val="24"/>
          <w:szCs w:val="24"/>
        </w:rPr>
        <w:t>OADOR</w:t>
      </w:r>
      <w:r w:rsidRPr="007D47BE">
        <w:rPr>
          <w:rFonts w:ascii="Times New Roman" w:hAnsi="Times New Roman" w:cs="Times New Roman"/>
          <w:sz w:val="24"/>
          <w:szCs w:val="24"/>
        </w:rPr>
        <w:t xml:space="preserve"> tedavisi sırasında sukrozun, fruktoz ve glukoza</w:t>
      </w:r>
      <w:r w:rsidR="00781381" w:rsidRPr="007D47BE">
        <w:rPr>
          <w:rFonts w:ascii="Times New Roman" w:hAnsi="Times New Roman" w:cs="Times New Roman"/>
          <w:sz w:val="24"/>
          <w:szCs w:val="24"/>
        </w:rPr>
        <w:t xml:space="preserve"> </w:t>
      </w:r>
      <w:r w:rsidRPr="007D47BE">
        <w:rPr>
          <w:rFonts w:ascii="Times New Roman" w:hAnsi="Times New Roman" w:cs="Times New Roman"/>
          <w:sz w:val="24"/>
          <w:szCs w:val="24"/>
        </w:rPr>
        <w:t>daha yavaş olarak parçalanacağı akılda tutulmalıdır. Bu nedenle hipogliseminin hızla düzelmesi</w:t>
      </w:r>
      <w:r w:rsidR="00781381" w:rsidRPr="007D47BE">
        <w:rPr>
          <w:rFonts w:ascii="Times New Roman" w:hAnsi="Times New Roman" w:cs="Times New Roman"/>
          <w:sz w:val="24"/>
          <w:szCs w:val="24"/>
        </w:rPr>
        <w:t xml:space="preserve"> </w:t>
      </w:r>
      <w:r w:rsidRPr="007D47BE">
        <w:rPr>
          <w:rFonts w:ascii="Times New Roman" w:hAnsi="Times New Roman" w:cs="Times New Roman"/>
          <w:sz w:val="24"/>
          <w:szCs w:val="24"/>
        </w:rPr>
        <w:t>için sukroz uygun değildir ve glukoz kullanılmalıdır.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Bazı vakalarda </w:t>
      </w:r>
      <w:r w:rsidR="00840C34" w:rsidRPr="007D47BE">
        <w:rPr>
          <w:rFonts w:ascii="Times New Roman" w:hAnsi="Times New Roman" w:cs="Times New Roman"/>
          <w:sz w:val="24"/>
          <w:szCs w:val="24"/>
        </w:rPr>
        <w:t>OADOR</w:t>
      </w:r>
      <w:r w:rsidRPr="007D47BE">
        <w:rPr>
          <w:rFonts w:ascii="Times New Roman" w:hAnsi="Times New Roman" w:cs="Times New Roman"/>
          <w:sz w:val="24"/>
          <w:szCs w:val="24"/>
        </w:rPr>
        <w:t xml:space="preserve">, digoksin için doz ayarlaması gerektirecek şekilde, </w:t>
      </w:r>
      <w:r w:rsidR="00625A59" w:rsidRPr="007D47BE">
        <w:rPr>
          <w:rFonts w:ascii="Times New Roman" w:hAnsi="Times New Roman" w:cs="Times New Roman"/>
          <w:sz w:val="24"/>
          <w:szCs w:val="24"/>
        </w:rPr>
        <w:t xml:space="preserve">Digoksin </w:t>
      </w:r>
      <w:r w:rsidRPr="007D47BE">
        <w:rPr>
          <w:rFonts w:ascii="Times New Roman" w:hAnsi="Times New Roman" w:cs="Times New Roman"/>
          <w:sz w:val="24"/>
          <w:szCs w:val="24"/>
        </w:rPr>
        <w:t>biyoyararlanımını etkiler.</w:t>
      </w:r>
    </w:p>
    <w:p w:rsidR="001B1EEC"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625A59" w:rsidRPr="007D47BE">
        <w:rPr>
          <w:rFonts w:ascii="Times New Roman" w:hAnsi="Times New Roman" w:cs="Times New Roman"/>
          <w:sz w:val="24"/>
          <w:szCs w:val="24"/>
        </w:rPr>
        <w:t>'u</w:t>
      </w:r>
      <w:r w:rsidR="001B1EEC" w:rsidRPr="007D47BE">
        <w:rPr>
          <w:rFonts w:ascii="Times New Roman" w:hAnsi="Times New Roman" w:cs="Times New Roman"/>
          <w:sz w:val="24"/>
          <w:szCs w:val="24"/>
        </w:rPr>
        <w:t>n etkisini zayıfla</w:t>
      </w:r>
      <w:r w:rsidR="00625A59" w:rsidRPr="007D47BE">
        <w:rPr>
          <w:rFonts w:ascii="Times New Roman" w:hAnsi="Times New Roman" w:cs="Times New Roman"/>
          <w:sz w:val="24"/>
          <w:szCs w:val="24"/>
        </w:rPr>
        <w:t>tabileceği için, antasitler, kol</w:t>
      </w:r>
      <w:r w:rsidR="001B1EEC" w:rsidRPr="007D47BE">
        <w:rPr>
          <w:rFonts w:ascii="Times New Roman" w:hAnsi="Times New Roman" w:cs="Times New Roman"/>
          <w:sz w:val="24"/>
          <w:szCs w:val="24"/>
        </w:rPr>
        <w:t>estiramin, intestinal adsorbanlar ve</w:t>
      </w:r>
      <w:r w:rsidR="00625A59" w:rsidRPr="007D47BE">
        <w:rPr>
          <w:rFonts w:ascii="Times New Roman" w:hAnsi="Times New Roman" w:cs="Times New Roman"/>
          <w:sz w:val="24"/>
          <w:szCs w:val="24"/>
        </w:rPr>
        <w:t xml:space="preserve"> </w:t>
      </w:r>
      <w:r w:rsidR="001B1EEC" w:rsidRPr="007D47BE">
        <w:rPr>
          <w:rFonts w:ascii="Times New Roman" w:hAnsi="Times New Roman" w:cs="Times New Roman"/>
          <w:sz w:val="24"/>
          <w:szCs w:val="24"/>
        </w:rPr>
        <w:t xml:space="preserve">sindirim enzim preparatlarının </w:t>
      </w: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ile birlikte kullanımından kaçınılmalıdır.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Eşzamanlı </w:t>
      </w:r>
      <w:r w:rsidR="00840C34" w:rsidRPr="007D47BE">
        <w:rPr>
          <w:rFonts w:ascii="Times New Roman" w:hAnsi="Times New Roman" w:cs="Times New Roman"/>
          <w:sz w:val="24"/>
          <w:szCs w:val="24"/>
        </w:rPr>
        <w:t>OADOR</w:t>
      </w:r>
      <w:r w:rsidRPr="007D47BE">
        <w:rPr>
          <w:rFonts w:ascii="Times New Roman" w:hAnsi="Times New Roman" w:cs="Times New Roman"/>
          <w:sz w:val="24"/>
          <w:szCs w:val="24"/>
        </w:rPr>
        <w:t xml:space="preserve"> ve neomisin uygulaması postprandiyal kan glukoz düzeyinde daha</w:t>
      </w:r>
      <w:r w:rsidR="00625A59" w:rsidRPr="007D47BE">
        <w:rPr>
          <w:rFonts w:ascii="Times New Roman" w:hAnsi="Times New Roman" w:cs="Times New Roman"/>
          <w:sz w:val="24"/>
          <w:szCs w:val="24"/>
        </w:rPr>
        <w:t xml:space="preserve"> </w:t>
      </w:r>
      <w:r w:rsidRPr="007D47BE">
        <w:rPr>
          <w:rFonts w:ascii="Times New Roman" w:hAnsi="Times New Roman" w:cs="Times New Roman"/>
          <w:sz w:val="24"/>
          <w:szCs w:val="24"/>
        </w:rPr>
        <w:t>fazla düşüşler ile gastrointestinal yan etkilerin sıklık ve şiddetinde artışa yol açabilir.</w:t>
      </w:r>
      <w:r w:rsidR="00625A59" w:rsidRPr="007D47BE">
        <w:rPr>
          <w:rFonts w:ascii="Times New Roman" w:hAnsi="Times New Roman" w:cs="Times New Roman"/>
          <w:sz w:val="24"/>
          <w:szCs w:val="24"/>
        </w:rPr>
        <w:t xml:space="preserve"> </w:t>
      </w:r>
      <w:r w:rsidRPr="007D47BE">
        <w:rPr>
          <w:rFonts w:ascii="Times New Roman" w:hAnsi="Times New Roman" w:cs="Times New Roman"/>
          <w:sz w:val="24"/>
          <w:szCs w:val="24"/>
        </w:rPr>
        <w:t xml:space="preserve">Semptomlar şiddetli ise, </w:t>
      </w:r>
      <w:r w:rsidR="00840C34" w:rsidRPr="007D47BE">
        <w:rPr>
          <w:rFonts w:ascii="Times New Roman" w:hAnsi="Times New Roman" w:cs="Times New Roman"/>
          <w:sz w:val="24"/>
          <w:szCs w:val="24"/>
        </w:rPr>
        <w:t>OADOR</w:t>
      </w:r>
      <w:r w:rsidRPr="007D47BE">
        <w:rPr>
          <w:rFonts w:ascii="Times New Roman" w:hAnsi="Times New Roman" w:cs="Times New Roman"/>
          <w:sz w:val="24"/>
          <w:szCs w:val="24"/>
        </w:rPr>
        <w:t xml:space="preserve"> dozunun geçici olarak azaltılması gerekebilir.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Dimetikon/ simetikon ile etkileşimi yoktur.</w:t>
      </w:r>
    </w:p>
    <w:p w:rsidR="001B1EEC"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ile nifedipin arasındaki olası etkileşimi araştırmak için yapılan bir pilot</w:t>
      </w:r>
      <w:r w:rsidR="00625A59" w:rsidRPr="007D47BE">
        <w:rPr>
          <w:rFonts w:ascii="Times New Roman" w:hAnsi="Times New Roman" w:cs="Times New Roman"/>
          <w:sz w:val="24"/>
          <w:szCs w:val="24"/>
        </w:rPr>
        <w:t xml:space="preserve"> </w:t>
      </w:r>
      <w:r w:rsidR="001B1EEC" w:rsidRPr="007D47BE">
        <w:rPr>
          <w:rFonts w:ascii="Times New Roman" w:hAnsi="Times New Roman" w:cs="Times New Roman"/>
          <w:sz w:val="24"/>
          <w:szCs w:val="24"/>
        </w:rPr>
        <w:t xml:space="preserve">çalışmada, plazma nifedipin </w:t>
      </w:r>
      <w:proofErr w:type="gramStart"/>
      <w:r w:rsidR="001B1EEC" w:rsidRPr="007D47BE">
        <w:rPr>
          <w:rFonts w:ascii="Times New Roman" w:hAnsi="Times New Roman" w:cs="Times New Roman"/>
          <w:sz w:val="24"/>
          <w:szCs w:val="24"/>
        </w:rPr>
        <w:t>profilinde</w:t>
      </w:r>
      <w:proofErr w:type="gramEnd"/>
      <w:r w:rsidR="001B1EEC" w:rsidRPr="007D47BE">
        <w:rPr>
          <w:rFonts w:ascii="Times New Roman" w:hAnsi="Times New Roman" w:cs="Times New Roman"/>
          <w:sz w:val="24"/>
          <w:szCs w:val="24"/>
        </w:rPr>
        <w:t xml:space="preserve"> herhangi bir önemli ya da yeniden oluşabilir değişim</w:t>
      </w:r>
      <w:r w:rsidR="00CB706F" w:rsidRPr="007D47BE">
        <w:rPr>
          <w:rFonts w:ascii="Times New Roman" w:hAnsi="Times New Roman" w:cs="Times New Roman"/>
          <w:sz w:val="24"/>
          <w:szCs w:val="24"/>
        </w:rPr>
        <w:t xml:space="preserve"> </w:t>
      </w:r>
      <w:r w:rsidR="001B1EEC" w:rsidRPr="007D47BE">
        <w:rPr>
          <w:rFonts w:ascii="Times New Roman" w:hAnsi="Times New Roman" w:cs="Times New Roman"/>
          <w:sz w:val="24"/>
          <w:szCs w:val="24"/>
        </w:rPr>
        <w:t>gözlenmemiştir.</w:t>
      </w:r>
    </w:p>
    <w:p w:rsidR="00CB706F" w:rsidRPr="007D47BE" w:rsidRDefault="00CB706F" w:rsidP="00CB284A">
      <w:pPr>
        <w:spacing w:after="0"/>
        <w:jc w:val="both"/>
        <w:rPr>
          <w:rFonts w:ascii="Times New Roman" w:hAnsi="Times New Roman" w:cs="Times New Roman"/>
          <w:sz w:val="24"/>
          <w:szCs w:val="24"/>
        </w:rPr>
      </w:pPr>
    </w:p>
    <w:p w:rsidR="00CB706F" w:rsidRPr="007D47BE" w:rsidRDefault="001B1EEC" w:rsidP="00CB284A">
      <w:pPr>
        <w:spacing w:after="0"/>
        <w:jc w:val="both"/>
        <w:rPr>
          <w:rFonts w:ascii="Times New Roman" w:hAnsi="Times New Roman" w:cs="Times New Roman"/>
          <w:b/>
          <w:bCs/>
          <w:sz w:val="24"/>
          <w:szCs w:val="24"/>
        </w:rPr>
      </w:pPr>
      <w:r w:rsidRPr="007D47BE">
        <w:rPr>
          <w:rFonts w:ascii="Times New Roman" w:hAnsi="Times New Roman" w:cs="Times New Roman"/>
          <w:b/>
          <w:bCs/>
          <w:sz w:val="24"/>
          <w:szCs w:val="24"/>
        </w:rPr>
        <w:t>4.6.</w:t>
      </w:r>
      <w:r w:rsidRPr="007D47BE">
        <w:rPr>
          <w:rFonts w:ascii="Times New Roman" w:hAnsi="Times New Roman" w:cs="Times New Roman"/>
          <w:b/>
          <w:bCs/>
          <w:sz w:val="24"/>
          <w:szCs w:val="24"/>
        </w:rPr>
        <w:tab/>
        <w:t>Gebelik ve laktasyon</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Genel Tavsiye:</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Gebelikte kullanım kategorisi B'dir.</w:t>
      </w:r>
    </w:p>
    <w:p w:rsidR="00CB706F" w:rsidRPr="007D47BE" w:rsidRDefault="00CB706F"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Çocuk Doğurma Potansiyeli Bulunan Kadınlar/Doğum Kontrolü (Kontrasepsiyon)</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Çocuk doğurma potansiyeli bulunan kadınlarda kullanımı ve doğum kontrolüne etkisi ile ilgili</w:t>
      </w:r>
      <w:r w:rsidR="00625A59" w:rsidRPr="007D47BE">
        <w:rPr>
          <w:rFonts w:ascii="Times New Roman" w:hAnsi="Times New Roman" w:cs="Times New Roman"/>
          <w:sz w:val="24"/>
          <w:szCs w:val="24"/>
        </w:rPr>
        <w:t xml:space="preserve"> </w:t>
      </w:r>
      <w:r w:rsidRPr="007D47BE">
        <w:rPr>
          <w:rFonts w:ascii="Times New Roman" w:hAnsi="Times New Roman" w:cs="Times New Roman"/>
          <w:sz w:val="24"/>
          <w:szCs w:val="24"/>
        </w:rPr>
        <w:t>özel önlemler alınmasına ilişkin veri bulunmamaktadır.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Akarboz için, gebeliklerde maruz kalmaya ilişkin yeterli klinik veri mevcut değildir.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Hayvan çalışmaları, gebelik, embriyonal / fetal gelişim, doğum ya da doğum sonrası gelişim ile</w:t>
      </w:r>
      <w:r w:rsidR="00625A59" w:rsidRPr="007D47BE">
        <w:rPr>
          <w:rFonts w:ascii="Times New Roman" w:hAnsi="Times New Roman" w:cs="Times New Roman"/>
          <w:sz w:val="24"/>
          <w:szCs w:val="24"/>
        </w:rPr>
        <w:t xml:space="preserve"> </w:t>
      </w:r>
      <w:r w:rsidRPr="007D47BE">
        <w:rPr>
          <w:rFonts w:ascii="Times New Roman" w:hAnsi="Times New Roman" w:cs="Times New Roman"/>
          <w:sz w:val="24"/>
          <w:szCs w:val="24"/>
        </w:rPr>
        <w:t xml:space="preserve">ilgili olarak doğrudan ya da dolaylı zararlı etkiler olduğunu göstermemektedir (bkz. </w:t>
      </w:r>
      <w:proofErr w:type="gramStart"/>
      <w:r w:rsidRPr="007D47BE">
        <w:rPr>
          <w:rFonts w:ascii="Times New Roman" w:hAnsi="Times New Roman" w:cs="Times New Roman"/>
          <w:sz w:val="24"/>
          <w:szCs w:val="24"/>
        </w:rPr>
        <w:t>5.3</w:t>
      </w:r>
      <w:proofErr w:type="gramEnd"/>
      <w:r w:rsidRPr="007D47BE">
        <w:rPr>
          <w:rFonts w:ascii="Times New Roman" w:hAnsi="Times New Roman" w:cs="Times New Roman"/>
          <w:sz w:val="24"/>
          <w:szCs w:val="24"/>
        </w:rPr>
        <w:t xml:space="preserve"> Klinik</w:t>
      </w:r>
      <w:r w:rsidR="00625A59" w:rsidRPr="007D47BE">
        <w:rPr>
          <w:rFonts w:ascii="Times New Roman" w:hAnsi="Times New Roman" w:cs="Times New Roman"/>
          <w:sz w:val="24"/>
          <w:szCs w:val="24"/>
        </w:rPr>
        <w:t xml:space="preserve"> </w:t>
      </w:r>
      <w:r w:rsidRPr="007D47BE">
        <w:rPr>
          <w:rFonts w:ascii="Times New Roman" w:hAnsi="Times New Roman" w:cs="Times New Roman"/>
          <w:sz w:val="24"/>
          <w:szCs w:val="24"/>
        </w:rPr>
        <w:t>öncesi güvenlilik verileri).</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Gebe kadınlara verilirken tedbirli olunmalıdır.</w:t>
      </w:r>
    </w:p>
    <w:p w:rsidR="00CB706F" w:rsidRPr="007D47BE" w:rsidRDefault="00CB706F"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Gebelik Dönemi:</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Hamilelerde kullanımına dair kontrollü klinik çalışmalardan elde edilen bir bilgi olmadığından, gebelik sırasında kullanılmamalıdır.</w:t>
      </w:r>
    </w:p>
    <w:p w:rsidR="00CB706F" w:rsidRPr="007D47BE" w:rsidRDefault="00CB706F"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Laktasyon Dönemi:</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Radyoaktif olarak işaretlenmiş akarboz süt veren sıçanlara verildiğinde, sütte az miktarda radyoaktivite bulunmuştur. İnsanda bu konuda yeterli bulgu yoktur. Ancak sütteki ilaca bağlı </w:t>
      </w:r>
      <w:r w:rsidRPr="007D47BE">
        <w:rPr>
          <w:rFonts w:ascii="Times New Roman" w:hAnsi="Times New Roman" w:cs="Times New Roman"/>
          <w:sz w:val="24"/>
          <w:szCs w:val="24"/>
        </w:rPr>
        <w:lastRenderedPageBreak/>
        <w:t>etkiler bebeklerde de görülebileceğinden, prensip olarak emzirme sırasında anneye verilmesi önerilmez.</w:t>
      </w:r>
    </w:p>
    <w:p w:rsidR="00CB706F" w:rsidRPr="007D47BE" w:rsidRDefault="00CB706F"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 xml:space="preserve">Üreme Yeteneği </w:t>
      </w:r>
      <w:r w:rsidRPr="007D47BE">
        <w:rPr>
          <w:rFonts w:ascii="Times New Roman" w:hAnsi="Times New Roman" w:cs="Times New Roman"/>
          <w:sz w:val="24"/>
          <w:szCs w:val="24"/>
        </w:rPr>
        <w:t xml:space="preserve">/ </w:t>
      </w:r>
      <w:r w:rsidRPr="007D47BE">
        <w:rPr>
          <w:rFonts w:ascii="Times New Roman" w:hAnsi="Times New Roman" w:cs="Times New Roman"/>
          <w:b/>
          <w:bCs/>
          <w:sz w:val="24"/>
          <w:szCs w:val="24"/>
        </w:rPr>
        <w:t>Fertilite:</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Akarbozun erkek ve dişi sıçanlarda 540 mg/kg/gün dozlarında fertilite bozulması görülmemiştir.</w:t>
      </w:r>
    </w:p>
    <w:p w:rsidR="00CB706F" w:rsidRPr="007D47BE" w:rsidRDefault="00CB706F"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4.7.</w:t>
      </w:r>
      <w:r w:rsidRPr="007D47BE">
        <w:rPr>
          <w:rFonts w:ascii="Times New Roman" w:hAnsi="Times New Roman" w:cs="Times New Roman"/>
          <w:b/>
          <w:bCs/>
          <w:sz w:val="24"/>
          <w:szCs w:val="24"/>
        </w:rPr>
        <w:tab/>
        <w:t>Araç ve makine kullanımı üzerindeki etkiler</w:t>
      </w:r>
    </w:p>
    <w:p w:rsidR="001B1EEC"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8772B2" w:rsidRPr="007D47BE">
        <w:rPr>
          <w:rFonts w:ascii="Times New Roman" w:hAnsi="Times New Roman" w:cs="Times New Roman"/>
          <w:sz w:val="24"/>
          <w:szCs w:val="24"/>
        </w:rPr>
        <w:t>'u</w:t>
      </w:r>
      <w:r w:rsidR="001B1EEC" w:rsidRPr="007D47BE">
        <w:rPr>
          <w:rFonts w:ascii="Times New Roman" w:hAnsi="Times New Roman" w:cs="Times New Roman"/>
          <w:sz w:val="24"/>
          <w:szCs w:val="24"/>
        </w:rPr>
        <w:t>n araç ve makine kullanma yeteneğini zayıflattığına dair hiçbir veri yoktur.</w:t>
      </w:r>
    </w:p>
    <w:p w:rsidR="001B1EEC" w:rsidRPr="007D47BE" w:rsidRDefault="001B1EEC"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4.8.</w:t>
      </w:r>
      <w:r w:rsidR="00CB706F" w:rsidRPr="007D47BE">
        <w:rPr>
          <w:rFonts w:ascii="Times New Roman" w:hAnsi="Times New Roman" w:cs="Times New Roman"/>
          <w:b/>
          <w:bCs/>
          <w:sz w:val="24"/>
          <w:szCs w:val="24"/>
        </w:rPr>
        <w:tab/>
      </w:r>
      <w:r w:rsidRPr="007D47BE">
        <w:rPr>
          <w:rFonts w:ascii="Times New Roman" w:hAnsi="Times New Roman" w:cs="Times New Roman"/>
          <w:b/>
          <w:bCs/>
          <w:sz w:val="24"/>
          <w:szCs w:val="24"/>
        </w:rPr>
        <w:t>İstenmeyen etkiler</w:t>
      </w:r>
    </w:p>
    <w:p w:rsidR="001B1EEC"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ile gerçekleştirilen plasebo kontrollü çalışmalara dayanan advers ilaç reaksiyonlarının (ADR'ler), CIOMS </w:t>
      </w:r>
      <w:r w:rsidR="001B1EEC" w:rsidRPr="007D47BE">
        <w:rPr>
          <w:rFonts w:ascii="Times New Roman" w:hAnsi="Times New Roman" w:cs="Times New Roman"/>
          <w:sz w:val="24"/>
          <w:szCs w:val="24"/>
          <w:lang w:val="en-US"/>
        </w:rPr>
        <w:t xml:space="preserve">III </w:t>
      </w:r>
      <w:r w:rsidR="001B1EEC" w:rsidRPr="007D47BE">
        <w:rPr>
          <w:rFonts w:ascii="Times New Roman" w:hAnsi="Times New Roman" w:cs="Times New Roman"/>
          <w:sz w:val="24"/>
          <w:szCs w:val="24"/>
        </w:rPr>
        <w:t>sıklık kategorilerine (klinik çalışma veritabanındaki plasebo kontrollü çalışmalar: akarboz N = 8.595; plasebo N = 7.278; durum: 10 Şubat 2006) göre sıralaması aşağıda gösterilmiştir.</w:t>
      </w:r>
    </w:p>
    <w:p w:rsidR="00625A59" w:rsidRPr="007D47BE" w:rsidRDefault="00625A59"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Her sıklık grubunda istenmeyen etkiler en ciddi olandan en az ciddi olana doğru sunulmuştur. Sıklıklar çok yaygın (</w:t>
      </w:r>
      <w:r w:rsidR="00625A59" w:rsidRPr="007D47BE">
        <w:rPr>
          <w:rFonts w:ascii="Times New Roman" w:hAnsi="Times New Roman" w:cs="Times New Roman"/>
          <w:sz w:val="24"/>
          <w:szCs w:val="24"/>
        </w:rPr>
        <w:t>≥</w:t>
      </w:r>
      <w:r w:rsidRPr="007D47BE">
        <w:rPr>
          <w:rFonts w:ascii="Times New Roman" w:hAnsi="Times New Roman" w:cs="Times New Roman"/>
          <w:sz w:val="24"/>
          <w:szCs w:val="24"/>
        </w:rPr>
        <w:t>1/10), yaygın (</w:t>
      </w:r>
      <w:r w:rsidR="00625A59" w:rsidRPr="007D47BE">
        <w:rPr>
          <w:rFonts w:ascii="Times New Roman" w:hAnsi="Times New Roman" w:cs="Times New Roman"/>
          <w:sz w:val="24"/>
          <w:szCs w:val="24"/>
        </w:rPr>
        <w:t>≥</w:t>
      </w:r>
      <w:r w:rsidRPr="007D47BE">
        <w:rPr>
          <w:rFonts w:ascii="Times New Roman" w:hAnsi="Times New Roman" w:cs="Times New Roman"/>
          <w:sz w:val="24"/>
          <w:szCs w:val="24"/>
        </w:rPr>
        <w:t>1/100 ila &lt;1/10), yaygın olmayan (</w:t>
      </w:r>
      <w:r w:rsidR="00625A59" w:rsidRPr="007D47BE">
        <w:rPr>
          <w:rFonts w:ascii="Times New Roman" w:hAnsi="Times New Roman" w:cs="Times New Roman"/>
          <w:sz w:val="24"/>
          <w:szCs w:val="24"/>
        </w:rPr>
        <w:t>≥</w:t>
      </w:r>
      <w:r w:rsidRPr="007D47BE">
        <w:rPr>
          <w:rFonts w:ascii="Times New Roman" w:hAnsi="Times New Roman" w:cs="Times New Roman"/>
          <w:sz w:val="24"/>
          <w:szCs w:val="24"/>
        </w:rPr>
        <w:t>1/1000 ila &lt;1/100), seyrek (</w:t>
      </w:r>
      <w:r w:rsidR="00625A59" w:rsidRPr="007D47BE">
        <w:rPr>
          <w:rFonts w:ascii="Times New Roman" w:hAnsi="Times New Roman" w:cs="Times New Roman"/>
          <w:sz w:val="24"/>
          <w:szCs w:val="24"/>
        </w:rPr>
        <w:t>≥</w:t>
      </w:r>
      <w:r w:rsidRPr="007D47BE">
        <w:rPr>
          <w:rFonts w:ascii="Times New Roman" w:hAnsi="Times New Roman" w:cs="Times New Roman"/>
          <w:sz w:val="24"/>
          <w:szCs w:val="24"/>
        </w:rPr>
        <w:t>1/10000 ila &lt;1/1000), çok seyrek (&lt;1/10000) ve bilinmiyor şeklinde tanımlanmıştır.</w:t>
      </w:r>
    </w:p>
    <w:p w:rsidR="00625A59" w:rsidRPr="007D47BE" w:rsidRDefault="00625A59"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Yalnızca pazarlama sonrası raporlar sırasında tanımlanan (statü: 31 Aralık 2005) ve bir sıklığın</w:t>
      </w:r>
      <w:r w:rsidR="00625A59" w:rsidRPr="007D47BE">
        <w:rPr>
          <w:rFonts w:ascii="Times New Roman" w:hAnsi="Times New Roman" w:cs="Times New Roman"/>
          <w:sz w:val="24"/>
          <w:szCs w:val="24"/>
        </w:rPr>
        <w:t xml:space="preserve"> </w:t>
      </w:r>
      <w:r w:rsidRPr="007D47BE">
        <w:rPr>
          <w:rFonts w:ascii="Times New Roman" w:hAnsi="Times New Roman" w:cs="Times New Roman"/>
          <w:sz w:val="24"/>
          <w:szCs w:val="24"/>
        </w:rPr>
        <w:t>kestirilemediği advers reaksiyonlar "bilinmiyor" başlığı altında sıralanmıştır.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 xml:space="preserve">Kan </w:t>
      </w:r>
      <w:r w:rsidRPr="007D47BE">
        <w:rPr>
          <w:rFonts w:ascii="Times New Roman" w:hAnsi="Times New Roman" w:cs="Times New Roman"/>
          <w:b/>
          <w:sz w:val="24"/>
          <w:szCs w:val="24"/>
        </w:rPr>
        <w:t>ve</w:t>
      </w:r>
      <w:r w:rsidRPr="007D47BE">
        <w:rPr>
          <w:rFonts w:ascii="Times New Roman" w:hAnsi="Times New Roman" w:cs="Times New Roman"/>
          <w:sz w:val="24"/>
          <w:szCs w:val="24"/>
        </w:rPr>
        <w:t xml:space="preserve"> </w:t>
      </w:r>
      <w:r w:rsidRPr="007D47BE">
        <w:rPr>
          <w:rFonts w:ascii="Times New Roman" w:hAnsi="Times New Roman" w:cs="Times New Roman"/>
          <w:b/>
          <w:bCs/>
          <w:sz w:val="24"/>
          <w:szCs w:val="24"/>
        </w:rPr>
        <w:t>lenf sistemi hastalıkları</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Bilinmeyen: Trombositopeni</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Bağışıklık sistemi hastalıkları</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Bilinmeyen: Alerjik reaksiyon (döküntü, eritem, ekzantem, ürtiker)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Vasküler hastalıklar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Seyrek: Ödem</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Gastrointestinal hastalıklar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Çok yayg</w:t>
      </w:r>
      <w:r w:rsidR="00822784" w:rsidRPr="007D47BE">
        <w:rPr>
          <w:rFonts w:ascii="Times New Roman" w:hAnsi="Times New Roman" w:cs="Times New Roman"/>
          <w:sz w:val="24"/>
          <w:szCs w:val="24"/>
        </w:rPr>
        <w:t>ın</w:t>
      </w:r>
      <w:r w:rsidRPr="007D47BE">
        <w:rPr>
          <w:rFonts w:ascii="Times New Roman" w:hAnsi="Times New Roman" w:cs="Times New Roman"/>
          <w:sz w:val="24"/>
          <w:szCs w:val="24"/>
        </w:rPr>
        <w:t>: Gaz</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Yaygın: Diyare, gastrointestinal ve abdominal ağrılar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Yayg</w:t>
      </w:r>
      <w:r w:rsidR="00822784" w:rsidRPr="007D47BE">
        <w:rPr>
          <w:rFonts w:ascii="Times New Roman" w:hAnsi="Times New Roman" w:cs="Times New Roman"/>
          <w:sz w:val="24"/>
          <w:szCs w:val="24"/>
        </w:rPr>
        <w:t>ın</w:t>
      </w:r>
      <w:r w:rsidRPr="007D47BE">
        <w:rPr>
          <w:rFonts w:ascii="Times New Roman" w:hAnsi="Times New Roman" w:cs="Times New Roman"/>
          <w:sz w:val="24"/>
          <w:szCs w:val="24"/>
        </w:rPr>
        <w:t xml:space="preserve"> olmayan: Bulantı, kusma, dispepsi</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Bilinmeyen: Subil</w:t>
      </w:r>
      <w:r w:rsidR="00822784" w:rsidRPr="007D47BE">
        <w:rPr>
          <w:rFonts w:ascii="Times New Roman" w:hAnsi="Times New Roman" w:cs="Times New Roman"/>
          <w:sz w:val="24"/>
          <w:szCs w:val="24"/>
        </w:rPr>
        <w:t>eus/İ</w:t>
      </w:r>
      <w:r w:rsidRPr="007D47BE">
        <w:rPr>
          <w:rFonts w:ascii="Times New Roman" w:hAnsi="Times New Roman" w:cs="Times New Roman"/>
          <w:sz w:val="24"/>
          <w:szCs w:val="24"/>
        </w:rPr>
        <w:t>leus, Pnömotozis sistoides intestinalis</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Hepato-bilier hastalıklar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Yaygın olmayan: Karaciğer enzimlerinde artış</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Seyrek: Sa</w:t>
      </w:r>
      <w:r w:rsidR="00822784" w:rsidRPr="007D47BE">
        <w:rPr>
          <w:rFonts w:ascii="Times New Roman" w:hAnsi="Times New Roman" w:cs="Times New Roman"/>
          <w:sz w:val="24"/>
          <w:szCs w:val="24"/>
        </w:rPr>
        <w:t>rı</w:t>
      </w:r>
      <w:r w:rsidRPr="007D47BE">
        <w:rPr>
          <w:rFonts w:ascii="Times New Roman" w:hAnsi="Times New Roman" w:cs="Times New Roman"/>
          <w:sz w:val="24"/>
          <w:szCs w:val="24"/>
        </w:rPr>
        <w:t>lık</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Bilinmeyen: Hepatit</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Belli reaksiyonu, bunun eşanlamlılarını ve ilgili durumları tanımlamak için MedDRA tercih</w:t>
      </w:r>
      <w:r w:rsidR="00FF7404" w:rsidRPr="007D47BE">
        <w:rPr>
          <w:rFonts w:ascii="Times New Roman" w:hAnsi="Times New Roman" w:cs="Times New Roman"/>
          <w:sz w:val="24"/>
          <w:szCs w:val="24"/>
        </w:rPr>
        <w:t xml:space="preserve"> </w:t>
      </w:r>
      <w:r w:rsidRPr="007D47BE">
        <w:rPr>
          <w:rFonts w:ascii="Times New Roman" w:hAnsi="Times New Roman" w:cs="Times New Roman"/>
          <w:sz w:val="24"/>
          <w:szCs w:val="24"/>
        </w:rPr>
        <w:t xml:space="preserve">edilen terimler kullanılmıştır. Advers reaksiyon terim açıklaması MedDRA </w:t>
      </w:r>
      <w:proofErr w:type="gramStart"/>
      <w:r w:rsidRPr="007D47BE">
        <w:rPr>
          <w:rFonts w:ascii="Times New Roman" w:hAnsi="Times New Roman" w:cs="Times New Roman"/>
          <w:sz w:val="24"/>
          <w:szCs w:val="24"/>
        </w:rPr>
        <w:t>versiyon</w:t>
      </w:r>
      <w:proofErr w:type="gramEnd"/>
      <w:r w:rsidRPr="007D47BE">
        <w:rPr>
          <w:rFonts w:ascii="Times New Roman" w:hAnsi="Times New Roman" w:cs="Times New Roman"/>
          <w:sz w:val="24"/>
          <w:szCs w:val="24"/>
        </w:rPr>
        <w:t xml:space="preserve"> 11.1'e</w:t>
      </w:r>
      <w:r w:rsidR="00FF7404" w:rsidRPr="007D47BE">
        <w:rPr>
          <w:rFonts w:ascii="Times New Roman" w:hAnsi="Times New Roman" w:cs="Times New Roman"/>
          <w:sz w:val="24"/>
          <w:szCs w:val="24"/>
        </w:rPr>
        <w:t xml:space="preserve"> </w:t>
      </w:r>
      <w:r w:rsidRPr="007D47BE">
        <w:rPr>
          <w:rFonts w:ascii="Times New Roman" w:hAnsi="Times New Roman" w:cs="Times New Roman"/>
          <w:sz w:val="24"/>
          <w:szCs w:val="24"/>
        </w:rPr>
        <w:t>temellendirilmiştir.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Ayrıca, karaciğer bozukluğu, böbrek fonksiyon </w:t>
      </w:r>
      <w:proofErr w:type="gramStart"/>
      <w:r w:rsidRPr="007D47BE">
        <w:rPr>
          <w:rFonts w:ascii="Times New Roman" w:hAnsi="Times New Roman" w:cs="Times New Roman"/>
          <w:sz w:val="24"/>
          <w:szCs w:val="24"/>
        </w:rPr>
        <w:t>anomalisi</w:t>
      </w:r>
      <w:proofErr w:type="gramEnd"/>
      <w:r w:rsidRPr="007D47BE">
        <w:rPr>
          <w:rFonts w:ascii="Times New Roman" w:hAnsi="Times New Roman" w:cs="Times New Roman"/>
          <w:sz w:val="24"/>
          <w:szCs w:val="24"/>
        </w:rPr>
        <w:t xml:space="preserve"> ve karaciğer hasarı olarak bildirilen olaylar özellikle Japonya'da izlenmiştir.</w:t>
      </w:r>
    </w:p>
    <w:p w:rsidR="00822784" w:rsidRPr="007D47BE" w:rsidRDefault="00822784"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Japonya'da ölümcül sonuçları olan münferit ani gelişen hepatit vakaları bildirilmiştir. </w:t>
      </w:r>
      <w:r w:rsidR="00840C34" w:rsidRPr="007D47BE">
        <w:rPr>
          <w:rFonts w:ascii="Times New Roman" w:hAnsi="Times New Roman" w:cs="Times New Roman"/>
          <w:sz w:val="24"/>
          <w:szCs w:val="24"/>
        </w:rPr>
        <w:t>OADOR</w:t>
      </w:r>
      <w:r w:rsidRPr="007D47BE">
        <w:rPr>
          <w:rFonts w:ascii="Times New Roman" w:hAnsi="Times New Roman" w:cs="Times New Roman"/>
          <w:sz w:val="24"/>
          <w:szCs w:val="24"/>
        </w:rPr>
        <w:t xml:space="preserve"> ile ilişkisi belirsizdir.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lastRenderedPageBreak/>
        <w:t>Reçete edilen diyete uyulmamış ise intestinal yan etkiler yoğunlaşabilir.</w:t>
      </w:r>
    </w:p>
    <w:p w:rsidR="00822784" w:rsidRPr="007D47BE" w:rsidRDefault="00822784"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Reçete edilen diyete uyulmasına rağmen rahatsız edici </w:t>
      </w:r>
      <w:proofErr w:type="gramStart"/>
      <w:r w:rsidRPr="007D47BE">
        <w:rPr>
          <w:rFonts w:ascii="Times New Roman" w:hAnsi="Times New Roman" w:cs="Times New Roman"/>
          <w:sz w:val="24"/>
          <w:szCs w:val="24"/>
        </w:rPr>
        <w:t>semptomlar</w:t>
      </w:r>
      <w:proofErr w:type="gramEnd"/>
      <w:r w:rsidRPr="007D47BE">
        <w:rPr>
          <w:rFonts w:ascii="Times New Roman" w:hAnsi="Times New Roman" w:cs="Times New Roman"/>
          <w:sz w:val="24"/>
          <w:szCs w:val="24"/>
        </w:rPr>
        <w:t xml:space="preserve"> gelişir ise, doktora danışılmalı ve doz geçici veya sürekli olarak düşürülmelidir.</w:t>
      </w:r>
    </w:p>
    <w:p w:rsidR="00822784" w:rsidRPr="007D47BE" w:rsidRDefault="00822784"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Tavsiye edilen 150 ila 300 mg akarboz/gün günlük dozunu alan hastalarda, nadiren klinik olarak ilgili karaciğer fonksiyon testlerinde anormallik gözlenmiştir (normal aralığın üst sınırının üç kat</w:t>
      </w:r>
      <w:r w:rsidR="00840C34" w:rsidRPr="007D47BE">
        <w:rPr>
          <w:rFonts w:ascii="Times New Roman" w:hAnsi="Times New Roman" w:cs="Times New Roman"/>
          <w:sz w:val="24"/>
          <w:szCs w:val="24"/>
        </w:rPr>
        <w:t xml:space="preserve"> </w:t>
      </w:r>
      <w:r w:rsidRPr="007D47BE">
        <w:rPr>
          <w:rFonts w:ascii="Times New Roman" w:hAnsi="Times New Roman" w:cs="Times New Roman"/>
          <w:sz w:val="24"/>
          <w:szCs w:val="24"/>
        </w:rPr>
        <w:t xml:space="preserve">üstünde). Anormal değerler devam eden </w:t>
      </w:r>
      <w:r w:rsidR="00CB284A" w:rsidRPr="007D47BE">
        <w:rPr>
          <w:rFonts w:ascii="Times New Roman" w:hAnsi="Times New Roman" w:cs="Times New Roman"/>
          <w:sz w:val="24"/>
          <w:szCs w:val="24"/>
        </w:rPr>
        <w:t>OADOR</w:t>
      </w:r>
      <w:r w:rsidRPr="007D47BE">
        <w:rPr>
          <w:rFonts w:ascii="Times New Roman" w:hAnsi="Times New Roman" w:cs="Times New Roman"/>
          <w:sz w:val="24"/>
          <w:szCs w:val="24"/>
        </w:rPr>
        <w:t xml:space="preserve"> tedavisinde geçici olabilir, (bkz. </w:t>
      </w:r>
      <w:proofErr w:type="gramStart"/>
      <w:r w:rsidRPr="007D47BE">
        <w:rPr>
          <w:rFonts w:ascii="Times New Roman" w:hAnsi="Times New Roman" w:cs="Times New Roman"/>
          <w:sz w:val="24"/>
          <w:szCs w:val="24"/>
        </w:rPr>
        <w:t>4.4</w:t>
      </w:r>
      <w:proofErr w:type="gramEnd"/>
      <w:r w:rsidRPr="007D47BE">
        <w:rPr>
          <w:rFonts w:ascii="Times New Roman" w:hAnsi="Times New Roman" w:cs="Times New Roman"/>
          <w:sz w:val="24"/>
          <w:szCs w:val="24"/>
        </w:rPr>
        <w:t xml:space="preserve"> Özel kullanım uyarıları ve önlemleri).</w:t>
      </w:r>
    </w:p>
    <w:p w:rsidR="007874F8" w:rsidRPr="007D47BE" w:rsidRDefault="007874F8" w:rsidP="007874F8">
      <w:pPr>
        <w:spacing w:after="0"/>
        <w:jc w:val="both"/>
        <w:rPr>
          <w:rFonts w:ascii="Times New Roman" w:hAnsi="Times New Roman" w:cs="Times New Roman"/>
          <w:sz w:val="24"/>
          <w:szCs w:val="24"/>
          <w:u w:val="single"/>
        </w:rPr>
      </w:pPr>
      <w:r w:rsidRPr="007D47BE">
        <w:rPr>
          <w:rFonts w:ascii="Times New Roman" w:hAnsi="Times New Roman" w:cs="Times New Roman" w:hint="eastAsia"/>
          <w:sz w:val="24"/>
          <w:szCs w:val="24"/>
          <w:u w:val="single"/>
        </w:rPr>
        <w:t>Ş</w:t>
      </w:r>
      <w:r w:rsidRPr="007D47BE">
        <w:rPr>
          <w:rFonts w:ascii="Times New Roman" w:hAnsi="Times New Roman" w:cs="Times New Roman"/>
          <w:sz w:val="24"/>
          <w:szCs w:val="24"/>
          <w:u w:val="single"/>
        </w:rPr>
        <w:t xml:space="preserve">üpheli </w:t>
      </w:r>
      <w:proofErr w:type="spellStart"/>
      <w:r w:rsidRPr="007D47BE">
        <w:rPr>
          <w:rFonts w:ascii="Times New Roman" w:hAnsi="Times New Roman" w:cs="Times New Roman"/>
          <w:sz w:val="24"/>
          <w:szCs w:val="24"/>
          <w:u w:val="single"/>
        </w:rPr>
        <w:t>advers</w:t>
      </w:r>
      <w:proofErr w:type="spellEnd"/>
      <w:r w:rsidRPr="007D47BE">
        <w:rPr>
          <w:rFonts w:ascii="Times New Roman" w:hAnsi="Times New Roman" w:cs="Times New Roman"/>
          <w:sz w:val="24"/>
          <w:szCs w:val="24"/>
          <w:u w:val="single"/>
        </w:rPr>
        <w:t xml:space="preserve"> reaksiyonlar</w:t>
      </w:r>
      <w:r w:rsidRPr="007D47BE">
        <w:rPr>
          <w:rFonts w:ascii="Times New Roman" w:hAnsi="Times New Roman" w:cs="Times New Roman" w:hint="eastAsia"/>
          <w:sz w:val="24"/>
          <w:szCs w:val="24"/>
          <w:u w:val="single"/>
        </w:rPr>
        <w:t>ı</w:t>
      </w:r>
      <w:r w:rsidRPr="007D47BE">
        <w:rPr>
          <w:rFonts w:ascii="Times New Roman" w:hAnsi="Times New Roman" w:cs="Times New Roman"/>
          <w:sz w:val="24"/>
          <w:szCs w:val="24"/>
          <w:u w:val="single"/>
        </w:rPr>
        <w:t>n raporlanmas</w:t>
      </w:r>
      <w:r w:rsidRPr="007D47BE">
        <w:rPr>
          <w:rFonts w:ascii="Times New Roman" w:hAnsi="Times New Roman" w:cs="Times New Roman" w:hint="eastAsia"/>
          <w:sz w:val="24"/>
          <w:szCs w:val="24"/>
          <w:u w:val="single"/>
        </w:rPr>
        <w:t>ı</w:t>
      </w:r>
    </w:p>
    <w:p w:rsidR="007874F8" w:rsidRPr="007D47BE" w:rsidRDefault="007874F8" w:rsidP="007874F8">
      <w:pPr>
        <w:spacing w:after="0"/>
        <w:jc w:val="both"/>
        <w:rPr>
          <w:rFonts w:ascii="Times New Roman" w:hAnsi="Times New Roman" w:cs="Times New Roman"/>
          <w:sz w:val="24"/>
          <w:szCs w:val="24"/>
        </w:rPr>
      </w:pPr>
      <w:r w:rsidRPr="007D47BE">
        <w:rPr>
          <w:rFonts w:ascii="Times New Roman" w:hAnsi="Times New Roman" w:cs="Times New Roman"/>
          <w:sz w:val="24"/>
          <w:szCs w:val="24"/>
        </w:rPr>
        <w:t>Ruhsatland</w:t>
      </w:r>
      <w:r w:rsidRPr="007D47BE">
        <w:rPr>
          <w:rFonts w:ascii="Times New Roman" w:hAnsi="Times New Roman" w:cs="Times New Roman" w:hint="eastAsia"/>
          <w:sz w:val="24"/>
          <w:szCs w:val="24"/>
        </w:rPr>
        <w:t>ı</w:t>
      </w:r>
      <w:r w:rsidRPr="007D47BE">
        <w:rPr>
          <w:rFonts w:ascii="Times New Roman" w:hAnsi="Times New Roman" w:cs="Times New Roman"/>
          <w:sz w:val="24"/>
          <w:szCs w:val="24"/>
        </w:rPr>
        <w:t>rma sonras</w:t>
      </w:r>
      <w:r w:rsidRPr="007D47BE">
        <w:rPr>
          <w:rFonts w:ascii="Times New Roman" w:hAnsi="Times New Roman" w:cs="Times New Roman" w:hint="eastAsia"/>
          <w:sz w:val="24"/>
          <w:szCs w:val="24"/>
        </w:rPr>
        <w:t>ı</w:t>
      </w:r>
      <w:r w:rsidRPr="007D47BE">
        <w:rPr>
          <w:rFonts w:ascii="Times New Roman" w:hAnsi="Times New Roman" w:cs="Times New Roman"/>
          <w:sz w:val="24"/>
          <w:szCs w:val="24"/>
        </w:rPr>
        <w:t xml:space="preserve"> </w:t>
      </w:r>
      <w:r w:rsidRPr="007D47BE">
        <w:rPr>
          <w:rFonts w:ascii="Times New Roman" w:hAnsi="Times New Roman" w:cs="Times New Roman" w:hint="eastAsia"/>
          <w:sz w:val="24"/>
          <w:szCs w:val="24"/>
        </w:rPr>
        <w:t>ş</w:t>
      </w:r>
      <w:r w:rsidRPr="007D47BE">
        <w:rPr>
          <w:rFonts w:ascii="Times New Roman" w:hAnsi="Times New Roman" w:cs="Times New Roman"/>
          <w:sz w:val="24"/>
          <w:szCs w:val="24"/>
        </w:rPr>
        <w:t xml:space="preserve">üpheli ilaç </w:t>
      </w:r>
      <w:proofErr w:type="spellStart"/>
      <w:r w:rsidRPr="007D47BE">
        <w:rPr>
          <w:rFonts w:ascii="Times New Roman" w:hAnsi="Times New Roman" w:cs="Times New Roman"/>
          <w:sz w:val="24"/>
          <w:szCs w:val="24"/>
        </w:rPr>
        <w:t>advers</w:t>
      </w:r>
      <w:proofErr w:type="spellEnd"/>
      <w:r w:rsidRPr="007D47BE">
        <w:rPr>
          <w:rFonts w:ascii="Times New Roman" w:hAnsi="Times New Roman" w:cs="Times New Roman"/>
          <w:sz w:val="24"/>
          <w:szCs w:val="24"/>
        </w:rPr>
        <w:t xml:space="preserve"> reaksiyonlar</w:t>
      </w:r>
      <w:r w:rsidRPr="007D47BE">
        <w:rPr>
          <w:rFonts w:ascii="Times New Roman" w:hAnsi="Times New Roman" w:cs="Times New Roman" w:hint="eastAsia"/>
          <w:sz w:val="24"/>
          <w:szCs w:val="24"/>
        </w:rPr>
        <w:t>ı</w:t>
      </w:r>
      <w:r w:rsidRPr="007D47BE">
        <w:rPr>
          <w:rFonts w:ascii="Times New Roman" w:hAnsi="Times New Roman" w:cs="Times New Roman"/>
          <w:sz w:val="24"/>
          <w:szCs w:val="24"/>
        </w:rPr>
        <w:t>n</w:t>
      </w:r>
      <w:r w:rsidRPr="007D47BE">
        <w:rPr>
          <w:rFonts w:ascii="Times New Roman" w:hAnsi="Times New Roman" w:cs="Times New Roman" w:hint="eastAsia"/>
          <w:sz w:val="24"/>
          <w:szCs w:val="24"/>
        </w:rPr>
        <w:t>ı</w:t>
      </w:r>
      <w:r w:rsidRPr="007D47BE">
        <w:rPr>
          <w:rFonts w:ascii="Times New Roman" w:hAnsi="Times New Roman" w:cs="Times New Roman"/>
          <w:sz w:val="24"/>
          <w:szCs w:val="24"/>
        </w:rPr>
        <w:t>n raporlanmas</w:t>
      </w:r>
      <w:r w:rsidRPr="007D47BE">
        <w:rPr>
          <w:rFonts w:ascii="Times New Roman" w:hAnsi="Times New Roman" w:cs="Times New Roman" w:hint="eastAsia"/>
          <w:sz w:val="24"/>
          <w:szCs w:val="24"/>
        </w:rPr>
        <w:t>ı</w:t>
      </w:r>
      <w:r w:rsidRPr="007D47BE">
        <w:rPr>
          <w:rFonts w:ascii="Times New Roman" w:hAnsi="Times New Roman" w:cs="Times New Roman"/>
          <w:sz w:val="24"/>
          <w:szCs w:val="24"/>
        </w:rPr>
        <w:t xml:space="preserve"> büyük önem ta</w:t>
      </w:r>
      <w:r w:rsidRPr="007D47BE">
        <w:rPr>
          <w:rFonts w:ascii="Times New Roman" w:hAnsi="Times New Roman" w:cs="Times New Roman" w:hint="eastAsia"/>
          <w:sz w:val="24"/>
          <w:szCs w:val="24"/>
        </w:rPr>
        <w:t>şı</w:t>
      </w:r>
      <w:r w:rsidRPr="007D47BE">
        <w:rPr>
          <w:rFonts w:ascii="Times New Roman" w:hAnsi="Times New Roman" w:cs="Times New Roman"/>
          <w:sz w:val="24"/>
          <w:szCs w:val="24"/>
        </w:rPr>
        <w:t>maktad</w:t>
      </w:r>
      <w:r w:rsidRPr="007D47BE">
        <w:rPr>
          <w:rFonts w:ascii="Times New Roman" w:hAnsi="Times New Roman" w:cs="Times New Roman" w:hint="eastAsia"/>
          <w:sz w:val="24"/>
          <w:szCs w:val="24"/>
        </w:rPr>
        <w:t>ı</w:t>
      </w:r>
      <w:r w:rsidRPr="007D47BE">
        <w:rPr>
          <w:rFonts w:ascii="Times New Roman" w:hAnsi="Times New Roman" w:cs="Times New Roman"/>
          <w:sz w:val="24"/>
          <w:szCs w:val="24"/>
        </w:rPr>
        <w:t>r. Raporlama yap</w:t>
      </w:r>
      <w:r w:rsidRPr="007D47BE">
        <w:rPr>
          <w:rFonts w:ascii="Times New Roman" w:hAnsi="Times New Roman" w:cs="Times New Roman" w:hint="eastAsia"/>
          <w:sz w:val="24"/>
          <w:szCs w:val="24"/>
        </w:rPr>
        <w:t>ı</w:t>
      </w:r>
      <w:r w:rsidRPr="007D47BE">
        <w:rPr>
          <w:rFonts w:ascii="Times New Roman" w:hAnsi="Times New Roman" w:cs="Times New Roman"/>
          <w:sz w:val="24"/>
          <w:szCs w:val="24"/>
        </w:rPr>
        <w:t>lmas</w:t>
      </w:r>
      <w:r w:rsidRPr="007D47BE">
        <w:rPr>
          <w:rFonts w:ascii="Times New Roman" w:hAnsi="Times New Roman" w:cs="Times New Roman" w:hint="eastAsia"/>
          <w:sz w:val="24"/>
          <w:szCs w:val="24"/>
        </w:rPr>
        <w:t>ı</w:t>
      </w:r>
      <w:r w:rsidRPr="007D47BE">
        <w:rPr>
          <w:rFonts w:ascii="Times New Roman" w:hAnsi="Times New Roman" w:cs="Times New Roman"/>
          <w:sz w:val="24"/>
          <w:szCs w:val="24"/>
        </w:rPr>
        <w:t>, ilac</w:t>
      </w:r>
      <w:r w:rsidRPr="007D47BE">
        <w:rPr>
          <w:rFonts w:ascii="Times New Roman" w:hAnsi="Times New Roman" w:cs="Times New Roman" w:hint="eastAsia"/>
          <w:sz w:val="24"/>
          <w:szCs w:val="24"/>
        </w:rPr>
        <w:t>ı</w:t>
      </w:r>
      <w:r w:rsidRPr="007D47BE">
        <w:rPr>
          <w:rFonts w:ascii="Times New Roman" w:hAnsi="Times New Roman" w:cs="Times New Roman"/>
          <w:sz w:val="24"/>
          <w:szCs w:val="24"/>
        </w:rPr>
        <w:t>n yarar/risk dengesinin sürekli olarak izlenmesine olanak sa</w:t>
      </w:r>
      <w:r w:rsidRPr="007D47BE">
        <w:rPr>
          <w:rFonts w:ascii="Times New Roman" w:hAnsi="Times New Roman" w:cs="Times New Roman" w:hint="eastAsia"/>
          <w:sz w:val="24"/>
          <w:szCs w:val="24"/>
        </w:rPr>
        <w:t>ğ</w:t>
      </w:r>
      <w:r w:rsidRPr="007D47BE">
        <w:rPr>
          <w:rFonts w:ascii="Times New Roman" w:hAnsi="Times New Roman" w:cs="Times New Roman"/>
          <w:sz w:val="24"/>
          <w:szCs w:val="24"/>
        </w:rPr>
        <w:t>lar. Sa</w:t>
      </w:r>
      <w:r w:rsidRPr="007D47BE">
        <w:rPr>
          <w:rFonts w:ascii="Times New Roman" w:hAnsi="Times New Roman" w:cs="Times New Roman" w:hint="eastAsia"/>
          <w:sz w:val="24"/>
          <w:szCs w:val="24"/>
        </w:rPr>
        <w:t>ğ</w:t>
      </w:r>
      <w:r w:rsidRPr="007D47BE">
        <w:rPr>
          <w:rFonts w:ascii="Times New Roman" w:hAnsi="Times New Roman" w:cs="Times New Roman"/>
          <w:sz w:val="24"/>
          <w:szCs w:val="24"/>
        </w:rPr>
        <w:t>l</w:t>
      </w:r>
      <w:r w:rsidRPr="007D47BE">
        <w:rPr>
          <w:rFonts w:ascii="Times New Roman" w:hAnsi="Times New Roman" w:cs="Times New Roman" w:hint="eastAsia"/>
          <w:sz w:val="24"/>
          <w:szCs w:val="24"/>
        </w:rPr>
        <w:t>ı</w:t>
      </w:r>
      <w:r w:rsidRPr="007D47BE">
        <w:rPr>
          <w:rFonts w:ascii="Times New Roman" w:hAnsi="Times New Roman" w:cs="Times New Roman"/>
          <w:sz w:val="24"/>
          <w:szCs w:val="24"/>
        </w:rPr>
        <w:t>k mesle</w:t>
      </w:r>
      <w:r w:rsidRPr="007D47BE">
        <w:rPr>
          <w:rFonts w:ascii="Times New Roman" w:hAnsi="Times New Roman" w:cs="Times New Roman" w:hint="eastAsia"/>
          <w:sz w:val="24"/>
          <w:szCs w:val="24"/>
        </w:rPr>
        <w:t>ğ</w:t>
      </w:r>
      <w:r w:rsidRPr="007D47BE">
        <w:rPr>
          <w:rFonts w:ascii="Times New Roman" w:hAnsi="Times New Roman" w:cs="Times New Roman"/>
          <w:sz w:val="24"/>
          <w:szCs w:val="24"/>
        </w:rPr>
        <w:t>i mensuplar</w:t>
      </w:r>
      <w:r w:rsidRPr="007D47BE">
        <w:rPr>
          <w:rFonts w:ascii="Times New Roman" w:hAnsi="Times New Roman" w:cs="Times New Roman" w:hint="eastAsia"/>
          <w:sz w:val="24"/>
          <w:szCs w:val="24"/>
        </w:rPr>
        <w:t>ı</w:t>
      </w:r>
      <w:r w:rsidRPr="007D47BE">
        <w:rPr>
          <w:rFonts w:ascii="Times New Roman" w:hAnsi="Times New Roman" w:cs="Times New Roman"/>
          <w:sz w:val="24"/>
          <w:szCs w:val="24"/>
        </w:rPr>
        <w:t>n</w:t>
      </w:r>
      <w:r w:rsidRPr="007D47BE">
        <w:rPr>
          <w:rFonts w:ascii="Times New Roman" w:hAnsi="Times New Roman" w:cs="Times New Roman" w:hint="eastAsia"/>
          <w:sz w:val="24"/>
          <w:szCs w:val="24"/>
        </w:rPr>
        <w:t>ı</w:t>
      </w:r>
      <w:r w:rsidRPr="007D47BE">
        <w:rPr>
          <w:rFonts w:ascii="Times New Roman" w:hAnsi="Times New Roman" w:cs="Times New Roman"/>
          <w:sz w:val="24"/>
          <w:szCs w:val="24"/>
        </w:rPr>
        <w:t xml:space="preserve">n herhangi bir </w:t>
      </w:r>
      <w:r w:rsidRPr="007D47BE">
        <w:rPr>
          <w:rFonts w:ascii="Times New Roman" w:hAnsi="Times New Roman" w:cs="Times New Roman" w:hint="eastAsia"/>
          <w:sz w:val="24"/>
          <w:szCs w:val="24"/>
        </w:rPr>
        <w:t>şü</w:t>
      </w:r>
      <w:r w:rsidRPr="007D47BE">
        <w:rPr>
          <w:rFonts w:ascii="Times New Roman" w:hAnsi="Times New Roman" w:cs="Times New Roman"/>
          <w:sz w:val="24"/>
          <w:szCs w:val="24"/>
        </w:rPr>
        <w:t xml:space="preserve">pheli </w:t>
      </w:r>
      <w:proofErr w:type="spellStart"/>
      <w:r w:rsidRPr="007D47BE">
        <w:rPr>
          <w:rFonts w:ascii="Times New Roman" w:hAnsi="Times New Roman" w:cs="Times New Roman"/>
          <w:sz w:val="24"/>
          <w:szCs w:val="24"/>
        </w:rPr>
        <w:t>advers</w:t>
      </w:r>
      <w:proofErr w:type="spellEnd"/>
      <w:r w:rsidRPr="007D47BE">
        <w:rPr>
          <w:rFonts w:ascii="Times New Roman" w:hAnsi="Times New Roman" w:cs="Times New Roman"/>
          <w:sz w:val="24"/>
          <w:szCs w:val="24"/>
        </w:rPr>
        <w:t xml:space="preserve"> reaksiyonu Türkiye </w:t>
      </w:r>
      <w:proofErr w:type="spellStart"/>
      <w:r w:rsidRPr="007D47BE">
        <w:rPr>
          <w:rFonts w:ascii="Times New Roman" w:hAnsi="Times New Roman" w:cs="Times New Roman"/>
          <w:sz w:val="24"/>
          <w:szCs w:val="24"/>
        </w:rPr>
        <w:t>Farmakovijilans</w:t>
      </w:r>
      <w:proofErr w:type="spellEnd"/>
      <w:r w:rsidRPr="007D47BE">
        <w:rPr>
          <w:rFonts w:ascii="Times New Roman" w:hAnsi="Times New Roman" w:cs="Times New Roman"/>
          <w:sz w:val="24"/>
          <w:szCs w:val="24"/>
        </w:rPr>
        <w:t xml:space="preserve"> Merkezi (TÜFAM)'ne bildirmeleri gerekmektedir. (</w:t>
      </w:r>
      <w:r w:rsidRPr="007D47BE">
        <w:rPr>
          <w:rFonts w:ascii="Times New Roman" w:hAnsi="Times New Roman" w:cs="Times New Roman"/>
          <w:sz w:val="24"/>
          <w:szCs w:val="24"/>
          <w:u w:val="single"/>
        </w:rPr>
        <w:t>www.</w:t>
      </w:r>
      <w:proofErr w:type="spellStart"/>
      <w:r w:rsidRPr="007D47BE">
        <w:rPr>
          <w:rFonts w:ascii="Times New Roman" w:hAnsi="Times New Roman" w:cs="Times New Roman"/>
          <w:sz w:val="24"/>
          <w:szCs w:val="24"/>
          <w:u w:val="single"/>
        </w:rPr>
        <w:t>titck</w:t>
      </w:r>
      <w:proofErr w:type="spellEnd"/>
      <w:r w:rsidRPr="007D47BE">
        <w:rPr>
          <w:rFonts w:ascii="Times New Roman" w:hAnsi="Times New Roman" w:cs="Times New Roman"/>
          <w:sz w:val="24"/>
          <w:szCs w:val="24"/>
          <w:u w:val="single"/>
        </w:rPr>
        <w:t>.gov.tr</w:t>
      </w:r>
      <w:r w:rsidRPr="007D47BE">
        <w:rPr>
          <w:rFonts w:ascii="Times New Roman" w:hAnsi="Times New Roman" w:cs="Times New Roman"/>
          <w:sz w:val="24"/>
          <w:szCs w:val="24"/>
        </w:rPr>
        <w:t xml:space="preserve">; e-posta: </w:t>
      </w:r>
      <w:proofErr w:type="spellStart"/>
      <w:r w:rsidRPr="007D47BE">
        <w:rPr>
          <w:rFonts w:ascii="Times New Roman" w:hAnsi="Times New Roman" w:cs="Times New Roman"/>
          <w:sz w:val="24"/>
          <w:szCs w:val="24"/>
          <w:u w:val="single"/>
        </w:rPr>
        <w:t>tufam</w:t>
      </w:r>
      <w:proofErr w:type="spellEnd"/>
      <w:r w:rsidRPr="007D47BE">
        <w:rPr>
          <w:rFonts w:ascii="Times New Roman" w:hAnsi="Times New Roman" w:cs="Times New Roman"/>
          <w:sz w:val="24"/>
          <w:szCs w:val="24"/>
          <w:u w:val="single"/>
        </w:rPr>
        <w:t>@</w:t>
      </w:r>
      <w:proofErr w:type="spellStart"/>
      <w:r w:rsidRPr="007D47BE">
        <w:rPr>
          <w:rFonts w:ascii="Times New Roman" w:hAnsi="Times New Roman" w:cs="Times New Roman"/>
          <w:sz w:val="24"/>
          <w:szCs w:val="24"/>
          <w:u w:val="single"/>
        </w:rPr>
        <w:t>titck</w:t>
      </w:r>
      <w:proofErr w:type="spellEnd"/>
      <w:r w:rsidRPr="007D47BE">
        <w:rPr>
          <w:rFonts w:ascii="Times New Roman" w:hAnsi="Times New Roman" w:cs="Times New Roman"/>
          <w:sz w:val="24"/>
          <w:szCs w:val="24"/>
          <w:u w:val="single"/>
        </w:rPr>
        <w:t>.gov.tr</w:t>
      </w:r>
      <w:r w:rsidRPr="007D47BE">
        <w:rPr>
          <w:rFonts w:ascii="Times New Roman" w:hAnsi="Times New Roman" w:cs="Times New Roman"/>
          <w:sz w:val="24"/>
          <w:szCs w:val="24"/>
        </w:rPr>
        <w:t>; tel: 0 800 314 00 08; faks: 0 312 218 35 99)</w:t>
      </w:r>
    </w:p>
    <w:p w:rsidR="00CB706F" w:rsidRPr="007D47BE" w:rsidRDefault="00CB706F"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4.9</w:t>
      </w:r>
      <w:r w:rsidR="00CB706F" w:rsidRPr="007D47BE">
        <w:rPr>
          <w:rFonts w:ascii="Times New Roman" w:hAnsi="Times New Roman" w:cs="Times New Roman"/>
          <w:b/>
          <w:bCs/>
          <w:sz w:val="24"/>
          <w:szCs w:val="24"/>
        </w:rPr>
        <w:t>.</w:t>
      </w:r>
      <w:r w:rsidR="00CB706F" w:rsidRPr="007D47BE">
        <w:rPr>
          <w:rFonts w:ascii="Times New Roman" w:hAnsi="Times New Roman" w:cs="Times New Roman"/>
          <w:b/>
          <w:bCs/>
          <w:sz w:val="24"/>
          <w:szCs w:val="24"/>
        </w:rPr>
        <w:tab/>
      </w:r>
      <w:r w:rsidRPr="007D47BE">
        <w:rPr>
          <w:rFonts w:ascii="Times New Roman" w:hAnsi="Times New Roman" w:cs="Times New Roman"/>
          <w:b/>
          <w:bCs/>
          <w:sz w:val="24"/>
          <w:szCs w:val="24"/>
        </w:rPr>
        <w:t>Doz aşımı ve</w:t>
      </w:r>
      <w:r w:rsidRPr="007D47BE">
        <w:rPr>
          <w:rFonts w:ascii="Times New Roman" w:hAnsi="Times New Roman" w:cs="Times New Roman"/>
          <w:sz w:val="24"/>
          <w:szCs w:val="24"/>
        </w:rPr>
        <w:t xml:space="preserve"> </w:t>
      </w:r>
      <w:r w:rsidRPr="007D47BE">
        <w:rPr>
          <w:rFonts w:ascii="Times New Roman" w:hAnsi="Times New Roman" w:cs="Times New Roman"/>
          <w:b/>
          <w:bCs/>
          <w:sz w:val="24"/>
          <w:szCs w:val="24"/>
        </w:rPr>
        <w:t>tedavisi</w:t>
      </w:r>
    </w:p>
    <w:p w:rsidR="001B1EEC"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tabletler, karbonhidrat (polisakkarit, oligosakkarit veya disakkaritler) içeren</w:t>
      </w:r>
      <w:r w:rsidR="008772B2" w:rsidRPr="007D47BE">
        <w:rPr>
          <w:rFonts w:ascii="Times New Roman" w:hAnsi="Times New Roman" w:cs="Times New Roman"/>
          <w:sz w:val="24"/>
          <w:szCs w:val="24"/>
        </w:rPr>
        <w:t xml:space="preserve"> </w:t>
      </w:r>
      <w:r w:rsidR="001B1EEC" w:rsidRPr="007D47BE">
        <w:rPr>
          <w:rFonts w:ascii="Times New Roman" w:hAnsi="Times New Roman" w:cs="Times New Roman"/>
          <w:sz w:val="24"/>
          <w:szCs w:val="24"/>
        </w:rPr>
        <w:t>yiyecek ve/veya içeceklerle birlikte aşırı dozda alındığında meteorizm, bağırsak gazları ve</w:t>
      </w:r>
      <w:r w:rsidR="008772B2" w:rsidRPr="007D47BE">
        <w:rPr>
          <w:rFonts w:ascii="Times New Roman" w:hAnsi="Times New Roman" w:cs="Times New Roman"/>
          <w:sz w:val="24"/>
          <w:szCs w:val="24"/>
        </w:rPr>
        <w:t xml:space="preserve"> </w:t>
      </w:r>
      <w:r w:rsidR="001B1EEC" w:rsidRPr="007D47BE">
        <w:rPr>
          <w:rFonts w:ascii="Times New Roman" w:hAnsi="Times New Roman" w:cs="Times New Roman"/>
          <w:sz w:val="24"/>
          <w:szCs w:val="24"/>
        </w:rPr>
        <w:t>diyareye neden olabilir.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Yiyeceklerden bağımsız olarak aşırı dozda </w:t>
      </w:r>
      <w:r w:rsidR="00840C34" w:rsidRPr="007D47BE">
        <w:rPr>
          <w:rFonts w:ascii="Times New Roman" w:hAnsi="Times New Roman" w:cs="Times New Roman"/>
          <w:sz w:val="24"/>
          <w:szCs w:val="24"/>
        </w:rPr>
        <w:t>OADOR</w:t>
      </w:r>
      <w:r w:rsidRPr="007D47BE">
        <w:rPr>
          <w:rFonts w:ascii="Times New Roman" w:hAnsi="Times New Roman" w:cs="Times New Roman"/>
          <w:sz w:val="24"/>
          <w:szCs w:val="24"/>
        </w:rPr>
        <w:t xml:space="preserve"> tabletlerin alınması durumunda, aşırı</w:t>
      </w:r>
      <w:r w:rsidR="008772B2" w:rsidRPr="007D47BE">
        <w:rPr>
          <w:rFonts w:ascii="Times New Roman" w:hAnsi="Times New Roman" w:cs="Times New Roman"/>
          <w:sz w:val="24"/>
          <w:szCs w:val="24"/>
        </w:rPr>
        <w:t xml:space="preserve"> </w:t>
      </w:r>
      <w:r w:rsidRPr="007D47BE">
        <w:rPr>
          <w:rFonts w:ascii="Times New Roman" w:hAnsi="Times New Roman" w:cs="Times New Roman"/>
          <w:sz w:val="24"/>
          <w:szCs w:val="24"/>
        </w:rPr>
        <w:t xml:space="preserve">intestinal </w:t>
      </w:r>
      <w:proofErr w:type="gramStart"/>
      <w:r w:rsidRPr="007D47BE">
        <w:rPr>
          <w:rFonts w:ascii="Times New Roman" w:hAnsi="Times New Roman" w:cs="Times New Roman"/>
          <w:sz w:val="24"/>
          <w:szCs w:val="24"/>
        </w:rPr>
        <w:t>semptomlar</w:t>
      </w:r>
      <w:proofErr w:type="gramEnd"/>
      <w:r w:rsidRPr="007D47BE">
        <w:rPr>
          <w:rFonts w:ascii="Times New Roman" w:hAnsi="Times New Roman" w:cs="Times New Roman"/>
          <w:sz w:val="24"/>
          <w:szCs w:val="24"/>
        </w:rPr>
        <w:t xml:space="preserve"> beklenmez.</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Doz aşımı durumunda hastaya 4-6 saat süreyle karbonhidrat (polisakkarit, oligosakkarit veya</w:t>
      </w:r>
      <w:r w:rsidR="008772B2" w:rsidRPr="007D47BE">
        <w:rPr>
          <w:rFonts w:ascii="Times New Roman" w:hAnsi="Times New Roman" w:cs="Times New Roman"/>
          <w:sz w:val="24"/>
          <w:szCs w:val="24"/>
        </w:rPr>
        <w:t xml:space="preserve"> </w:t>
      </w:r>
      <w:r w:rsidRPr="007D47BE">
        <w:rPr>
          <w:rFonts w:ascii="Times New Roman" w:hAnsi="Times New Roman" w:cs="Times New Roman"/>
          <w:sz w:val="24"/>
          <w:szCs w:val="24"/>
        </w:rPr>
        <w:t>disakkaritler) içeren yiyecek veya içecekler verilmemelidir.</w:t>
      </w:r>
    </w:p>
    <w:p w:rsidR="00CB706F" w:rsidRPr="007D47BE" w:rsidRDefault="00CB706F" w:rsidP="00CB284A">
      <w:pPr>
        <w:spacing w:after="0"/>
        <w:jc w:val="both"/>
        <w:rPr>
          <w:rFonts w:ascii="Times New Roman" w:hAnsi="Times New Roman" w:cs="Times New Roman"/>
          <w:sz w:val="24"/>
          <w:szCs w:val="24"/>
        </w:rPr>
      </w:pPr>
    </w:p>
    <w:p w:rsidR="00CB706F" w:rsidRPr="007D47BE" w:rsidRDefault="00CB706F" w:rsidP="00CB284A">
      <w:pPr>
        <w:spacing w:after="0"/>
        <w:jc w:val="both"/>
        <w:rPr>
          <w:rFonts w:ascii="Times New Roman" w:hAnsi="Times New Roman" w:cs="Times New Roman"/>
          <w:b/>
          <w:bCs/>
          <w:sz w:val="24"/>
          <w:szCs w:val="24"/>
        </w:rPr>
      </w:pPr>
      <w:r w:rsidRPr="007D47BE">
        <w:rPr>
          <w:rFonts w:ascii="Times New Roman" w:hAnsi="Times New Roman" w:cs="Times New Roman"/>
          <w:b/>
          <w:bCs/>
          <w:sz w:val="24"/>
          <w:szCs w:val="24"/>
        </w:rPr>
        <w:t>5.</w:t>
      </w:r>
      <w:r w:rsidRPr="007D47BE">
        <w:rPr>
          <w:rFonts w:ascii="Times New Roman" w:hAnsi="Times New Roman" w:cs="Times New Roman"/>
          <w:b/>
          <w:bCs/>
          <w:sz w:val="24"/>
          <w:szCs w:val="24"/>
        </w:rPr>
        <w:tab/>
      </w:r>
      <w:r w:rsidR="001B1EEC" w:rsidRPr="007D47BE">
        <w:rPr>
          <w:rFonts w:ascii="Times New Roman" w:hAnsi="Times New Roman" w:cs="Times New Roman"/>
          <w:b/>
          <w:bCs/>
          <w:sz w:val="24"/>
          <w:szCs w:val="24"/>
        </w:rPr>
        <w:t xml:space="preserve">FARMAKOLOJİK ÖZELLİKLER </w:t>
      </w:r>
    </w:p>
    <w:p w:rsidR="001B1EEC" w:rsidRPr="007D47BE" w:rsidRDefault="00CB706F"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5.1.</w:t>
      </w:r>
      <w:r w:rsidRPr="007D47BE">
        <w:rPr>
          <w:rFonts w:ascii="Times New Roman" w:hAnsi="Times New Roman" w:cs="Times New Roman"/>
          <w:b/>
          <w:bCs/>
          <w:sz w:val="24"/>
          <w:szCs w:val="24"/>
        </w:rPr>
        <w:tab/>
      </w:r>
      <w:r w:rsidR="001B1EEC" w:rsidRPr="007D47BE">
        <w:rPr>
          <w:rFonts w:ascii="Times New Roman" w:hAnsi="Times New Roman" w:cs="Times New Roman"/>
          <w:b/>
          <w:bCs/>
          <w:sz w:val="24"/>
          <w:szCs w:val="24"/>
        </w:rPr>
        <w:t>Farmakodinamik özellikler</w:t>
      </w:r>
    </w:p>
    <w:p w:rsidR="00CB706F"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Farmakoterapötik grup: </w:t>
      </w:r>
      <w:r w:rsidR="008772B2" w:rsidRPr="007D47BE">
        <w:rPr>
          <w:rFonts w:ascii="Times New Roman" w:hAnsi="Times New Roman" w:cs="Times New Roman"/>
          <w:sz w:val="24"/>
          <w:szCs w:val="24"/>
        </w:rPr>
        <w:t>A</w:t>
      </w:r>
      <w:r w:rsidRPr="007D47BE">
        <w:rPr>
          <w:rFonts w:ascii="Times New Roman" w:hAnsi="Times New Roman" w:cs="Times New Roman"/>
          <w:sz w:val="24"/>
          <w:szCs w:val="24"/>
        </w:rPr>
        <w:t xml:space="preserve">lfa glukozidaz inhibitörü </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ATCkodu:A10BF01</w:t>
      </w:r>
    </w:p>
    <w:p w:rsidR="00CB706F" w:rsidRPr="007D47BE" w:rsidRDefault="00CB706F"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Etki mekanizması</w:t>
      </w:r>
    </w:p>
    <w:p w:rsidR="008772B2"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1B1EEC" w:rsidRPr="007D47BE">
        <w:rPr>
          <w:rFonts w:ascii="Times New Roman" w:hAnsi="Times New Roman" w:cs="Times New Roman"/>
          <w:sz w:val="24"/>
          <w:szCs w:val="24"/>
        </w:rPr>
        <w:t xml:space="preserve"> Tabletlerin etkin maddesi olan akarboz, mikrobiyal orijinli bir psödotetrasakkarittir.</w:t>
      </w:r>
      <w:r w:rsidR="008772B2" w:rsidRPr="007D47BE">
        <w:rPr>
          <w:rFonts w:ascii="Times New Roman" w:hAnsi="Times New Roman" w:cs="Times New Roman"/>
          <w:sz w:val="24"/>
          <w:szCs w:val="24"/>
        </w:rPr>
        <w:t xml:space="preserve"> </w:t>
      </w:r>
      <w:r w:rsidR="001B1EEC" w:rsidRPr="007D47BE">
        <w:rPr>
          <w:rFonts w:ascii="Times New Roman" w:hAnsi="Times New Roman" w:cs="Times New Roman"/>
          <w:sz w:val="24"/>
          <w:szCs w:val="24"/>
        </w:rPr>
        <w:t>Akarboz insüline bağımlı ve insüline bağımlı olmayan diyabetin tedavisinde kullanılır.</w:t>
      </w:r>
      <w:r w:rsidR="00CB706F" w:rsidRPr="007D47BE">
        <w:rPr>
          <w:rFonts w:ascii="Times New Roman" w:hAnsi="Times New Roman" w:cs="Times New Roman"/>
          <w:sz w:val="24"/>
          <w:szCs w:val="24"/>
        </w:rPr>
        <w:t xml:space="preserve"> </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Test edilen bütün türlerde ince bağırsaklarda aktivitesini gösterir. Akarboz, etkisini ince</w:t>
      </w:r>
      <w:r w:rsidR="00CB706F" w:rsidRPr="007D47BE">
        <w:rPr>
          <w:rFonts w:ascii="Times New Roman" w:hAnsi="Times New Roman" w:cs="Times New Roman"/>
          <w:sz w:val="24"/>
          <w:szCs w:val="24"/>
        </w:rPr>
        <w:t xml:space="preserve"> </w:t>
      </w:r>
      <w:r w:rsidRPr="007D47BE">
        <w:rPr>
          <w:rFonts w:ascii="Times New Roman" w:hAnsi="Times New Roman" w:cs="Times New Roman"/>
          <w:sz w:val="24"/>
          <w:szCs w:val="24"/>
        </w:rPr>
        <w:t>bağırsaklarda disakkarit, oligosakkarit ve polisakkaritlerin parçalanması ile ilgili intestinal</w:t>
      </w:r>
      <w:r w:rsidR="00CB706F" w:rsidRPr="007D47BE">
        <w:rPr>
          <w:rFonts w:ascii="Times New Roman" w:hAnsi="Times New Roman" w:cs="Times New Roman"/>
          <w:sz w:val="24"/>
          <w:szCs w:val="24"/>
        </w:rPr>
        <w:t xml:space="preserve"> </w:t>
      </w:r>
      <w:r w:rsidR="008772B2" w:rsidRPr="007D47BE">
        <w:rPr>
          <w:rFonts w:ascii="Times New Roman" w:hAnsi="Times New Roman" w:cs="Times New Roman"/>
          <w:sz w:val="24"/>
          <w:szCs w:val="24"/>
        </w:rPr>
        <w:t xml:space="preserve">enzimleri </w:t>
      </w:r>
      <w:r w:rsidRPr="007D47BE">
        <w:rPr>
          <w:rFonts w:ascii="Times New Roman" w:hAnsi="Times New Roman" w:cs="Times New Roman"/>
          <w:sz w:val="24"/>
          <w:szCs w:val="24"/>
        </w:rPr>
        <w:t>(</w:t>
      </w:r>
      <w:r w:rsidR="008772B2" w:rsidRPr="007D47BE">
        <w:rPr>
          <w:rFonts w:ascii="Times New Roman" w:hAnsi="Times New Roman" w:cs="Times New Roman"/>
          <w:sz w:val="24"/>
          <w:szCs w:val="24"/>
        </w:rPr>
        <w:t>α</w:t>
      </w:r>
      <w:r w:rsidRPr="007D47BE">
        <w:rPr>
          <w:rFonts w:ascii="Times New Roman" w:hAnsi="Times New Roman" w:cs="Times New Roman"/>
          <w:sz w:val="24"/>
          <w:szCs w:val="24"/>
        </w:rPr>
        <w:t>-glukozidaz enzimleri) inhibe ederek gösterir. Böylece doza bağlı olarak</w:t>
      </w:r>
      <w:r w:rsidR="00CB706F" w:rsidRPr="007D47BE">
        <w:rPr>
          <w:rFonts w:ascii="Times New Roman" w:hAnsi="Times New Roman" w:cs="Times New Roman"/>
          <w:sz w:val="24"/>
          <w:szCs w:val="24"/>
        </w:rPr>
        <w:t xml:space="preserve"> </w:t>
      </w:r>
      <w:r w:rsidRPr="007D47BE">
        <w:rPr>
          <w:rFonts w:ascii="Times New Roman" w:hAnsi="Times New Roman" w:cs="Times New Roman"/>
          <w:sz w:val="24"/>
          <w:szCs w:val="24"/>
        </w:rPr>
        <w:t>karbon</w:t>
      </w:r>
      <w:r w:rsidR="008772B2" w:rsidRPr="007D47BE">
        <w:rPr>
          <w:rFonts w:ascii="Times New Roman" w:hAnsi="Times New Roman" w:cs="Times New Roman"/>
          <w:sz w:val="24"/>
          <w:szCs w:val="24"/>
        </w:rPr>
        <w:t>”</w:t>
      </w:r>
      <w:r w:rsidRPr="007D47BE">
        <w:rPr>
          <w:rFonts w:ascii="Times New Roman" w:hAnsi="Times New Roman" w:cs="Times New Roman"/>
          <w:sz w:val="24"/>
          <w:szCs w:val="24"/>
        </w:rPr>
        <w:t>hidratların sindirimi gecikir, en önemlisi glukozun açığa çıkması ve kana karışması</w:t>
      </w:r>
      <w:r w:rsidR="00CB706F" w:rsidRPr="007D47BE">
        <w:rPr>
          <w:rFonts w:ascii="Times New Roman" w:hAnsi="Times New Roman" w:cs="Times New Roman"/>
          <w:sz w:val="24"/>
          <w:szCs w:val="24"/>
        </w:rPr>
        <w:t xml:space="preserve"> </w:t>
      </w:r>
      <w:r w:rsidRPr="007D47BE">
        <w:rPr>
          <w:rFonts w:ascii="Times New Roman" w:hAnsi="Times New Roman" w:cs="Times New Roman"/>
          <w:sz w:val="24"/>
          <w:szCs w:val="24"/>
        </w:rPr>
        <w:t>yavaşlar. Bu etkisi ile akarboz yemeklerden sonra görülen, kan şekeri artışını azaltır. İnce</w:t>
      </w:r>
      <w:r w:rsidR="00CB706F" w:rsidRPr="007D47BE">
        <w:rPr>
          <w:rFonts w:ascii="Times New Roman" w:hAnsi="Times New Roman" w:cs="Times New Roman"/>
          <w:sz w:val="24"/>
          <w:szCs w:val="24"/>
        </w:rPr>
        <w:t xml:space="preserve"> </w:t>
      </w:r>
      <w:r w:rsidRPr="007D47BE">
        <w:rPr>
          <w:rFonts w:ascii="Times New Roman" w:hAnsi="Times New Roman" w:cs="Times New Roman"/>
          <w:sz w:val="24"/>
          <w:szCs w:val="24"/>
        </w:rPr>
        <w:t>bağırsaklardan glukoz alımının akarboz ile dengelenmesi sonucu, gerek günlük kan şekerindeki</w:t>
      </w:r>
      <w:r w:rsidR="00CB706F" w:rsidRPr="007D47BE">
        <w:rPr>
          <w:rFonts w:ascii="Times New Roman" w:hAnsi="Times New Roman" w:cs="Times New Roman"/>
          <w:sz w:val="24"/>
          <w:szCs w:val="24"/>
        </w:rPr>
        <w:t xml:space="preserve"> </w:t>
      </w:r>
      <w:r w:rsidRPr="007D47BE">
        <w:rPr>
          <w:rFonts w:ascii="Times New Roman" w:hAnsi="Times New Roman" w:cs="Times New Roman"/>
          <w:sz w:val="24"/>
          <w:szCs w:val="24"/>
        </w:rPr>
        <w:t>oynamalar, gerekse ortalama kan şekeri düzeyi azalır.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Akarboz glikolize hemoglobinin anormal yüksek </w:t>
      </w:r>
      <w:proofErr w:type="gramStart"/>
      <w:r w:rsidRPr="007D47BE">
        <w:rPr>
          <w:rFonts w:ascii="Times New Roman" w:hAnsi="Times New Roman" w:cs="Times New Roman"/>
          <w:sz w:val="24"/>
          <w:szCs w:val="24"/>
        </w:rPr>
        <w:t>konsantrasyonlarını</w:t>
      </w:r>
      <w:proofErr w:type="gramEnd"/>
      <w:r w:rsidRPr="007D47BE">
        <w:rPr>
          <w:rFonts w:ascii="Times New Roman" w:hAnsi="Times New Roman" w:cs="Times New Roman"/>
          <w:sz w:val="24"/>
          <w:szCs w:val="24"/>
        </w:rPr>
        <w:t xml:space="preserve"> düşürür.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Prospektif, randomize, plasebo-kontrollü, çift kör bir çalışmada (3-5 yıl tedavi, ortalama </w:t>
      </w:r>
      <w:proofErr w:type="gramStart"/>
      <w:r w:rsidRPr="007D47BE">
        <w:rPr>
          <w:rFonts w:ascii="Times New Roman" w:hAnsi="Times New Roman" w:cs="Times New Roman"/>
          <w:sz w:val="24"/>
          <w:szCs w:val="24"/>
        </w:rPr>
        <w:t>3.3</w:t>
      </w:r>
      <w:proofErr w:type="gramEnd"/>
      <w:r w:rsidRPr="007D47BE">
        <w:rPr>
          <w:rFonts w:ascii="Times New Roman" w:hAnsi="Times New Roman" w:cs="Times New Roman"/>
          <w:sz w:val="24"/>
          <w:szCs w:val="24"/>
        </w:rPr>
        <w:t xml:space="preserve"> yıl)</w:t>
      </w:r>
      <w:r w:rsidR="00CB706F" w:rsidRPr="007D47BE">
        <w:rPr>
          <w:rFonts w:ascii="Times New Roman" w:hAnsi="Times New Roman" w:cs="Times New Roman"/>
          <w:sz w:val="24"/>
          <w:szCs w:val="24"/>
        </w:rPr>
        <w:t xml:space="preserve"> </w:t>
      </w:r>
      <w:r w:rsidRPr="007D47BE">
        <w:rPr>
          <w:rFonts w:ascii="Times New Roman" w:hAnsi="Times New Roman" w:cs="Times New Roman"/>
          <w:sz w:val="24"/>
          <w:szCs w:val="24"/>
        </w:rPr>
        <w:t>bozulmuş glukoz toleransı* (bkz. 4.1 Terapötik endikasyonlar) tespit edilen 1429 gönüllüde, tip</w:t>
      </w:r>
      <w:r w:rsidR="00CB706F" w:rsidRPr="007D47BE">
        <w:rPr>
          <w:rFonts w:ascii="Times New Roman" w:hAnsi="Times New Roman" w:cs="Times New Roman"/>
          <w:sz w:val="24"/>
          <w:szCs w:val="24"/>
        </w:rPr>
        <w:t xml:space="preserve"> </w:t>
      </w:r>
      <w:r w:rsidRPr="007D47BE">
        <w:rPr>
          <w:rFonts w:ascii="Times New Roman" w:hAnsi="Times New Roman" w:cs="Times New Roman"/>
          <w:sz w:val="24"/>
          <w:szCs w:val="24"/>
        </w:rPr>
        <w:lastRenderedPageBreak/>
        <w:t>2 diyabet gelişine riski %25 oranında azaltılmıştır. Bu hastalarda miyokard infarktüsü insidansı</w:t>
      </w:r>
      <w:r w:rsidR="00CB706F" w:rsidRPr="007D47BE">
        <w:rPr>
          <w:rFonts w:ascii="Times New Roman" w:hAnsi="Times New Roman" w:cs="Times New Roman"/>
          <w:sz w:val="24"/>
          <w:szCs w:val="24"/>
        </w:rPr>
        <w:t xml:space="preserve"> </w:t>
      </w:r>
      <w:r w:rsidRPr="007D47BE">
        <w:rPr>
          <w:rFonts w:ascii="Times New Roman" w:hAnsi="Times New Roman" w:cs="Times New Roman"/>
          <w:sz w:val="24"/>
          <w:szCs w:val="24"/>
        </w:rPr>
        <w:t>anlamlı olarak %91 oranında, kardiyovasküler olayların insidansı % 49 oranında azalmıştır.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Bu etkiler, tip 2 diyabetin tedavisinde akarboz ile yapılan 7 plasebo kontrollü çalışmanın (toplam</w:t>
      </w:r>
      <w:r w:rsidR="008772B2" w:rsidRPr="007D47BE">
        <w:rPr>
          <w:rFonts w:ascii="Times New Roman" w:hAnsi="Times New Roman" w:cs="Times New Roman"/>
          <w:sz w:val="24"/>
          <w:szCs w:val="24"/>
        </w:rPr>
        <w:t xml:space="preserve"> </w:t>
      </w:r>
      <w:r w:rsidRPr="007D47BE">
        <w:rPr>
          <w:rFonts w:ascii="Times New Roman" w:hAnsi="Times New Roman" w:cs="Times New Roman"/>
          <w:sz w:val="24"/>
          <w:szCs w:val="24"/>
        </w:rPr>
        <w:t>2180 hasta, 1248 akarboz, 932 plasebo) meta-analizi ile doğrulanmıştır. Miyokard infarktüsü</w:t>
      </w:r>
      <w:r w:rsidR="008772B2" w:rsidRPr="007D47BE">
        <w:rPr>
          <w:rFonts w:ascii="Times New Roman" w:hAnsi="Times New Roman" w:cs="Times New Roman"/>
          <w:sz w:val="24"/>
          <w:szCs w:val="24"/>
        </w:rPr>
        <w:t xml:space="preserve"> </w:t>
      </w:r>
      <w:r w:rsidRPr="007D47BE">
        <w:rPr>
          <w:rFonts w:ascii="Times New Roman" w:hAnsi="Times New Roman" w:cs="Times New Roman"/>
          <w:sz w:val="24"/>
          <w:szCs w:val="24"/>
        </w:rPr>
        <w:t>riski %64 oranında, kardiyovasküler olayların riski %24 oranında azalmıştır. Her iki değişiklik</w:t>
      </w:r>
      <w:r w:rsidR="008772B2" w:rsidRPr="007D47BE">
        <w:rPr>
          <w:rFonts w:ascii="Times New Roman" w:hAnsi="Times New Roman" w:cs="Times New Roman"/>
          <w:sz w:val="24"/>
          <w:szCs w:val="24"/>
        </w:rPr>
        <w:t xml:space="preserve"> </w:t>
      </w:r>
      <w:r w:rsidRPr="007D47BE">
        <w:rPr>
          <w:rFonts w:ascii="Times New Roman" w:hAnsi="Times New Roman" w:cs="Times New Roman"/>
          <w:sz w:val="24"/>
          <w:szCs w:val="24"/>
        </w:rPr>
        <w:t>de istatistiksel olarak anlamlıdır.</w:t>
      </w:r>
    </w:p>
    <w:p w:rsidR="00781381" w:rsidRPr="007D47BE" w:rsidRDefault="00781381" w:rsidP="00CB284A">
      <w:pPr>
        <w:spacing w:after="0"/>
        <w:jc w:val="both"/>
        <w:rPr>
          <w:rFonts w:ascii="Times New Roman" w:hAnsi="Times New Roman" w:cs="Times New Roman"/>
          <w:sz w:val="24"/>
          <w:szCs w:val="24"/>
        </w:rPr>
      </w:pPr>
    </w:p>
    <w:p w:rsidR="00781381" w:rsidRPr="007D47BE" w:rsidRDefault="001B1EEC" w:rsidP="00CB284A">
      <w:pPr>
        <w:spacing w:after="0"/>
        <w:jc w:val="both"/>
        <w:rPr>
          <w:rFonts w:ascii="Times New Roman" w:hAnsi="Times New Roman" w:cs="Times New Roman"/>
          <w:b/>
          <w:bCs/>
          <w:sz w:val="24"/>
          <w:szCs w:val="24"/>
        </w:rPr>
      </w:pPr>
      <w:r w:rsidRPr="007D47BE">
        <w:rPr>
          <w:rFonts w:ascii="Times New Roman" w:hAnsi="Times New Roman" w:cs="Times New Roman"/>
          <w:b/>
          <w:bCs/>
          <w:sz w:val="24"/>
          <w:szCs w:val="24"/>
        </w:rPr>
        <w:t>5.2</w:t>
      </w:r>
      <w:r w:rsidR="00CB706F" w:rsidRPr="007D47BE">
        <w:rPr>
          <w:rFonts w:ascii="Times New Roman" w:hAnsi="Times New Roman" w:cs="Times New Roman"/>
          <w:b/>
          <w:bCs/>
          <w:sz w:val="24"/>
          <w:szCs w:val="24"/>
        </w:rPr>
        <w:t>.</w:t>
      </w:r>
      <w:r w:rsidR="00CB706F" w:rsidRPr="007D47BE">
        <w:rPr>
          <w:rFonts w:ascii="Times New Roman" w:hAnsi="Times New Roman" w:cs="Times New Roman"/>
          <w:b/>
          <w:bCs/>
          <w:sz w:val="24"/>
          <w:szCs w:val="24"/>
        </w:rPr>
        <w:tab/>
      </w:r>
      <w:r w:rsidRPr="007D47BE">
        <w:rPr>
          <w:rFonts w:ascii="Times New Roman" w:hAnsi="Times New Roman" w:cs="Times New Roman"/>
          <w:b/>
          <w:bCs/>
          <w:sz w:val="24"/>
          <w:szCs w:val="24"/>
        </w:rPr>
        <w:t xml:space="preserve">Farmakokinetik özellikler </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Genel Özellikler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Akarboz farmakokinetiği, sağlıklı gönüllüler üzerinde 200 mg işaretli madde oral yoldan verilerek araştırılmıştır.</w:t>
      </w:r>
    </w:p>
    <w:p w:rsidR="00FF7404" w:rsidRPr="007D47BE" w:rsidRDefault="00FF7404"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u w:val="single"/>
        </w:rPr>
        <w:t>Emilim:</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Toplam radyoaktivitenin (inhibitor madde ve herhangi bir bozunma ürününün toplamı) ortalama</w:t>
      </w:r>
      <w:r w:rsidR="008772B2" w:rsidRPr="007D47BE">
        <w:rPr>
          <w:rFonts w:ascii="Times New Roman" w:hAnsi="Times New Roman" w:cs="Times New Roman"/>
          <w:sz w:val="24"/>
          <w:szCs w:val="24"/>
        </w:rPr>
        <w:t xml:space="preserve"> </w:t>
      </w:r>
      <w:r w:rsidRPr="007D47BE">
        <w:rPr>
          <w:rFonts w:ascii="Times New Roman" w:hAnsi="Times New Roman" w:cs="Times New Roman"/>
          <w:sz w:val="24"/>
          <w:szCs w:val="24"/>
        </w:rPr>
        <w:t>% 3 5'i 96 saat içinde böbreklerden atıldığından, absorbsiyon derecesinin bu civarda olduğu</w:t>
      </w:r>
      <w:r w:rsidR="008772B2" w:rsidRPr="007D47BE">
        <w:rPr>
          <w:rFonts w:ascii="Times New Roman" w:hAnsi="Times New Roman" w:cs="Times New Roman"/>
          <w:sz w:val="24"/>
          <w:szCs w:val="24"/>
        </w:rPr>
        <w:t xml:space="preserve"> </w:t>
      </w:r>
      <w:r w:rsidRPr="007D47BE">
        <w:rPr>
          <w:rFonts w:ascii="Times New Roman" w:hAnsi="Times New Roman" w:cs="Times New Roman"/>
          <w:sz w:val="24"/>
          <w:szCs w:val="24"/>
        </w:rPr>
        <w:t>farz</w:t>
      </w:r>
      <w:r w:rsidR="008772B2" w:rsidRPr="007D47BE">
        <w:rPr>
          <w:rFonts w:ascii="Times New Roman" w:hAnsi="Times New Roman" w:cs="Times New Roman"/>
          <w:sz w:val="24"/>
          <w:szCs w:val="24"/>
        </w:rPr>
        <w:t xml:space="preserve"> </w:t>
      </w:r>
      <w:r w:rsidRPr="007D47BE">
        <w:rPr>
          <w:rFonts w:ascii="Times New Roman" w:hAnsi="Times New Roman" w:cs="Times New Roman"/>
          <w:sz w:val="24"/>
          <w:szCs w:val="24"/>
        </w:rPr>
        <w:t>edilmiştir.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Plazmada total radyoaktivite </w:t>
      </w:r>
      <w:proofErr w:type="gramStart"/>
      <w:r w:rsidRPr="007D47BE">
        <w:rPr>
          <w:rFonts w:ascii="Times New Roman" w:hAnsi="Times New Roman" w:cs="Times New Roman"/>
          <w:sz w:val="24"/>
          <w:szCs w:val="24"/>
        </w:rPr>
        <w:t>konsantrasyonu</w:t>
      </w:r>
      <w:proofErr w:type="gramEnd"/>
      <w:r w:rsidRPr="007D47BE">
        <w:rPr>
          <w:rFonts w:ascii="Times New Roman" w:hAnsi="Times New Roman" w:cs="Times New Roman"/>
          <w:sz w:val="24"/>
          <w:szCs w:val="24"/>
        </w:rPr>
        <w:t xml:space="preserve"> iki pik halinde görülmüştür. İlk pik </w:t>
      </w:r>
      <w:proofErr w:type="gramStart"/>
      <w:r w:rsidRPr="007D47BE">
        <w:rPr>
          <w:rFonts w:ascii="Times New Roman" w:hAnsi="Times New Roman" w:cs="Times New Roman"/>
          <w:sz w:val="24"/>
          <w:szCs w:val="24"/>
        </w:rPr>
        <w:t>1.1</w:t>
      </w:r>
      <w:proofErr w:type="gramEnd"/>
      <w:r w:rsidRPr="007D47BE">
        <w:rPr>
          <w:rFonts w:ascii="Times New Roman" w:hAnsi="Times New Roman" w:cs="Times New Roman"/>
          <w:sz w:val="24"/>
          <w:szCs w:val="24"/>
        </w:rPr>
        <w:t>±0.3 saat</w:t>
      </w:r>
      <w:r w:rsidR="008772B2" w:rsidRPr="007D47BE">
        <w:rPr>
          <w:rFonts w:ascii="Times New Roman" w:hAnsi="Times New Roman" w:cs="Times New Roman"/>
          <w:sz w:val="24"/>
          <w:szCs w:val="24"/>
        </w:rPr>
        <w:t xml:space="preserve"> </w:t>
      </w:r>
      <w:r w:rsidRPr="007D47BE">
        <w:rPr>
          <w:rFonts w:ascii="Times New Roman" w:hAnsi="Times New Roman" w:cs="Times New Roman"/>
          <w:sz w:val="24"/>
          <w:szCs w:val="24"/>
        </w:rPr>
        <w:t xml:space="preserve">sonra 52.2 ± 15.7 </w:t>
      </w:r>
      <w:r w:rsidR="0006417B" w:rsidRPr="007D47BE">
        <w:rPr>
          <w:rFonts w:ascii="Times New Roman" w:hAnsi="Times New Roman" w:cs="Times New Roman"/>
          <w:sz w:val="24"/>
          <w:szCs w:val="24"/>
        </w:rPr>
        <w:t>µ</w:t>
      </w:r>
      <w:r w:rsidR="008772B2" w:rsidRPr="007D47BE">
        <w:rPr>
          <w:rFonts w:ascii="Times New Roman" w:hAnsi="Times New Roman" w:cs="Times New Roman"/>
          <w:sz w:val="24"/>
          <w:szCs w:val="24"/>
        </w:rPr>
        <w:t>g/L ortalama</w:t>
      </w:r>
      <w:r w:rsidRPr="007D47BE">
        <w:rPr>
          <w:rFonts w:ascii="Times New Roman" w:hAnsi="Times New Roman" w:cs="Times New Roman"/>
          <w:sz w:val="24"/>
          <w:szCs w:val="24"/>
        </w:rPr>
        <w:t xml:space="preserve"> akarboz konsantrasyonuna eşdeğerdir. Bu değer </w:t>
      </w:r>
      <w:r w:rsidR="00807EFB" w:rsidRPr="007D47BE">
        <w:rPr>
          <w:rFonts w:ascii="Times New Roman" w:hAnsi="Times New Roman" w:cs="Times New Roman"/>
          <w:sz w:val="24"/>
          <w:szCs w:val="24"/>
        </w:rPr>
        <w:t>inhibitör</w:t>
      </w:r>
      <w:r w:rsidR="008772B2" w:rsidRPr="007D47BE">
        <w:rPr>
          <w:rFonts w:ascii="Times New Roman" w:hAnsi="Times New Roman" w:cs="Times New Roman"/>
          <w:sz w:val="24"/>
          <w:szCs w:val="24"/>
        </w:rPr>
        <w:t xml:space="preserve"> </w:t>
      </w:r>
      <w:r w:rsidRPr="007D47BE">
        <w:rPr>
          <w:rFonts w:ascii="Times New Roman" w:hAnsi="Times New Roman" w:cs="Times New Roman"/>
          <w:sz w:val="24"/>
          <w:szCs w:val="24"/>
        </w:rPr>
        <w:t xml:space="preserve">maddenin </w:t>
      </w:r>
      <w:proofErr w:type="gramStart"/>
      <w:r w:rsidRPr="007D47BE">
        <w:rPr>
          <w:rFonts w:ascii="Times New Roman" w:hAnsi="Times New Roman" w:cs="Times New Roman"/>
          <w:sz w:val="24"/>
          <w:szCs w:val="24"/>
        </w:rPr>
        <w:t>konsantrasyon</w:t>
      </w:r>
      <w:proofErr w:type="gramEnd"/>
      <w:r w:rsidRPr="007D47BE">
        <w:rPr>
          <w:rFonts w:ascii="Times New Roman" w:hAnsi="Times New Roman" w:cs="Times New Roman"/>
          <w:sz w:val="24"/>
          <w:szCs w:val="24"/>
        </w:rPr>
        <w:t xml:space="preserve"> verileri (2.1 ±1.6 saat sonra 49.5 ±26.9 </w:t>
      </w:r>
      <w:r w:rsidR="0006417B" w:rsidRPr="007D47BE">
        <w:rPr>
          <w:rFonts w:ascii="Times New Roman" w:hAnsi="Times New Roman" w:cs="Times New Roman"/>
          <w:sz w:val="24"/>
          <w:szCs w:val="24"/>
        </w:rPr>
        <w:t>µ</w:t>
      </w:r>
      <w:r w:rsidRPr="007D47BE">
        <w:rPr>
          <w:rFonts w:ascii="Times New Roman" w:hAnsi="Times New Roman" w:cs="Times New Roman"/>
          <w:sz w:val="24"/>
          <w:szCs w:val="24"/>
        </w:rPr>
        <w:t>g/L) ile uyumludur. İkinci pik</w:t>
      </w:r>
    </w:p>
    <w:p w:rsidR="001B1EEC" w:rsidRPr="007D47BE" w:rsidRDefault="00807EFB" w:rsidP="00CB284A">
      <w:pPr>
        <w:spacing w:after="0"/>
        <w:jc w:val="both"/>
        <w:rPr>
          <w:rFonts w:ascii="Times New Roman" w:hAnsi="Times New Roman" w:cs="Times New Roman"/>
          <w:sz w:val="24"/>
          <w:szCs w:val="24"/>
        </w:rPr>
      </w:pPr>
      <w:proofErr w:type="gramStart"/>
      <w:r w:rsidRPr="007D47BE">
        <w:rPr>
          <w:rFonts w:ascii="Times New Roman" w:hAnsi="Times New Roman" w:cs="Times New Roman"/>
          <w:sz w:val="24"/>
          <w:szCs w:val="24"/>
        </w:rPr>
        <w:t>ise</w:t>
      </w:r>
      <w:proofErr w:type="gramEnd"/>
      <w:r w:rsidRPr="007D47BE">
        <w:rPr>
          <w:rFonts w:ascii="Times New Roman" w:hAnsi="Times New Roman" w:cs="Times New Roman"/>
          <w:sz w:val="24"/>
          <w:szCs w:val="24"/>
        </w:rPr>
        <w:t xml:space="preserve"> ortalama 586.3 ± 282.7 </w:t>
      </w:r>
      <w:r w:rsidR="0006417B" w:rsidRPr="007D47BE">
        <w:rPr>
          <w:rFonts w:ascii="Times New Roman" w:hAnsi="Times New Roman" w:cs="Times New Roman"/>
          <w:sz w:val="24"/>
          <w:szCs w:val="24"/>
        </w:rPr>
        <w:t>µ</w:t>
      </w:r>
      <w:r w:rsidR="001B1EEC" w:rsidRPr="007D47BE">
        <w:rPr>
          <w:rFonts w:ascii="Times New Roman" w:hAnsi="Times New Roman" w:cs="Times New Roman"/>
          <w:sz w:val="24"/>
          <w:szCs w:val="24"/>
        </w:rPr>
        <w:t>g/L ko</w:t>
      </w:r>
      <w:r w:rsidR="008772B2" w:rsidRPr="007D47BE">
        <w:rPr>
          <w:rFonts w:ascii="Times New Roman" w:hAnsi="Times New Roman" w:cs="Times New Roman"/>
          <w:sz w:val="24"/>
          <w:szCs w:val="24"/>
        </w:rPr>
        <w:t>nsantrasyona eşdeğer olup, bu değere 20.7 ± 5.2</w:t>
      </w:r>
      <w:r w:rsidR="001B1EEC" w:rsidRPr="007D47BE">
        <w:rPr>
          <w:rFonts w:ascii="Times New Roman" w:hAnsi="Times New Roman" w:cs="Times New Roman"/>
          <w:sz w:val="24"/>
          <w:szCs w:val="24"/>
        </w:rPr>
        <w:t xml:space="preserve"> saatte</w:t>
      </w:r>
      <w:r w:rsidR="00840C34" w:rsidRPr="007D47BE">
        <w:rPr>
          <w:rFonts w:ascii="Times New Roman" w:hAnsi="Times New Roman" w:cs="Times New Roman"/>
          <w:sz w:val="24"/>
          <w:szCs w:val="24"/>
        </w:rPr>
        <w:t xml:space="preserve"> </w:t>
      </w:r>
      <w:r w:rsidR="001B1EEC" w:rsidRPr="007D47BE">
        <w:rPr>
          <w:rFonts w:ascii="Times New Roman" w:hAnsi="Times New Roman" w:cs="Times New Roman"/>
          <w:sz w:val="24"/>
          <w:szCs w:val="24"/>
        </w:rPr>
        <w:t xml:space="preserve">ulaşılmıştır. Total radyoaktivitenin tersine </w:t>
      </w:r>
      <w:r w:rsidRPr="007D47BE">
        <w:rPr>
          <w:rFonts w:ascii="Times New Roman" w:hAnsi="Times New Roman" w:cs="Times New Roman"/>
          <w:sz w:val="24"/>
          <w:szCs w:val="24"/>
        </w:rPr>
        <w:t>inhibitör</w:t>
      </w:r>
      <w:r w:rsidR="001B1EEC" w:rsidRPr="007D47BE">
        <w:rPr>
          <w:rFonts w:ascii="Times New Roman" w:hAnsi="Times New Roman" w:cs="Times New Roman"/>
          <w:sz w:val="24"/>
          <w:szCs w:val="24"/>
        </w:rPr>
        <w:t xml:space="preserve"> maddenin maksimum plazma </w:t>
      </w:r>
      <w:proofErr w:type="gramStart"/>
      <w:r w:rsidR="001B1EEC" w:rsidRPr="007D47BE">
        <w:rPr>
          <w:rFonts w:ascii="Times New Roman" w:hAnsi="Times New Roman" w:cs="Times New Roman"/>
          <w:sz w:val="24"/>
          <w:szCs w:val="24"/>
        </w:rPr>
        <w:t>konsantrasyonu</w:t>
      </w:r>
      <w:proofErr w:type="gramEnd"/>
      <w:r w:rsidR="001B1EEC" w:rsidRPr="007D47BE">
        <w:rPr>
          <w:rFonts w:ascii="Times New Roman" w:hAnsi="Times New Roman" w:cs="Times New Roman"/>
          <w:sz w:val="24"/>
          <w:szCs w:val="24"/>
        </w:rPr>
        <w:t xml:space="preserve"> 10-20 misli düşüktür. Yaklaşık 14-24 saat somaki daha yüksek olan ikinci pikin, ince bağırsakların daha derin kısımlarındaki bakteriyel yolla bozunma ürünlerinin absorbsiyonuna bağlı olduğuna inanılmaktadır.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Biyoyararlanımı sadece % 1-2'dir. Akarboz bağırsakta sadece </w:t>
      </w:r>
      <w:proofErr w:type="gramStart"/>
      <w:r w:rsidRPr="007D47BE">
        <w:rPr>
          <w:rFonts w:ascii="Times New Roman" w:hAnsi="Times New Roman" w:cs="Times New Roman"/>
          <w:sz w:val="24"/>
          <w:szCs w:val="24"/>
        </w:rPr>
        <w:t>lokal</w:t>
      </w:r>
      <w:proofErr w:type="gramEnd"/>
      <w:r w:rsidRPr="007D47BE">
        <w:rPr>
          <w:rFonts w:ascii="Times New Roman" w:hAnsi="Times New Roman" w:cs="Times New Roman"/>
          <w:sz w:val="24"/>
          <w:szCs w:val="24"/>
        </w:rPr>
        <w:t xml:space="preserve"> olarak etki ettiği için, inhibitor maddenin bu son derece düşük sistemik yararlanımı arzu edilir bir özelliktir. Bu nedenle, bu düşük biyoyararlanımın terapötik etkiyle hiçbir ilişkisi bulunmamaktadır.</w:t>
      </w:r>
    </w:p>
    <w:p w:rsidR="00FF7404" w:rsidRPr="007D47BE" w:rsidRDefault="00FF7404"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u w:val="single"/>
        </w:rPr>
        <w:t>Dağılım:</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Sağlıklı gönüllülerde plazma </w:t>
      </w:r>
      <w:proofErr w:type="gramStart"/>
      <w:r w:rsidRPr="007D47BE">
        <w:rPr>
          <w:rFonts w:ascii="Times New Roman" w:hAnsi="Times New Roman" w:cs="Times New Roman"/>
          <w:sz w:val="24"/>
          <w:szCs w:val="24"/>
        </w:rPr>
        <w:t>konsantrasyonu</w:t>
      </w:r>
      <w:proofErr w:type="gramEnd"/>
      <w:r w:rsidRPr="007D47BE">
        <w:rPr>
          <w:rFonts w:ascii="Times New Roman" w:hAnsi="Times New Roman" w:cs="Times New Roman"/>
          <w:sz w:val="24"/>
          <w:szCs w:val="24"/>
        </w:rPr>
        <w:t xml:space="preserve"> grafiğinden hesaplanmış bağıl dağılım hacmi 0.32</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L/kg'dır ( i.v. dozu, </w:t>
      </w:r>
      <w:proofErr w:type="gramStart"/>
      <w:r w:rsidRPr="007D47BE">
        <w:rPr>
          <w:rFonts w:ascii="Times New Roman" w:hAnsi="Times New Roman" w:cs="Times New Roman"/>
          <w:sz w:val="24"/>
          <w:szCs w:val="24"/>
        </w:rPr>
        <w:t>0.4</w:t>
      </w:r>
      <w:proofErr w:type="gramEnd"/>
      <w:r w:rsidRPr="007D47BE">
        <w:rPr>
          <w:rFonts w:ascii="Times New Roman" w:hAnsi="Times New Roman" w:cs="Times New Roman"/>
          <w:sz w:val="24"/>
          <w:szCs w:val="24"/>
        </w:rPr>
        <w:t xml:space="preserve"> mg/ kg vücut ağırlığı).</w:t>
      </w:r>
    </w:p>
    <w:p w:rsidR="00FF7404" w:rsidRPr="007D47BE" w:rsidRDefault="00FF7404"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u w:val="single"/>
        </w:rPr>
        <w:t>Biyotransformasyon:</w:t>
      </w:r>
    </w:p>
    <w:p w:rsidR="001B1EEC" w:rsidRPr="007D47BE" w:rsidRDefault="00807EFB"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İnhibitör </w:t>
      </w:r>
      <w:r w:rsidR="001B1EEC" w:rsidRPr="007D47BE">
        <w:rPr>
          <w:rFonts w:ascii="Times New Roman" w:hAnsi="Times New Roman" w:cs="Times New Roman"/>
          <w:sz w:val="24"/>
          <w:szCs w:val="24"/>
        </w:rPr>
        <w:t xml:space="preserve">maddenin plazma </w:t>
      </w:r>
      <w:proofErr w:type="gramStart"/>
      <w:r w:rsidR="001B1EEC" w:rsidRPr="007D47BE">
        <w:rPr>
          <w:rFonts w:ascii="Times New Roman" w:hAnsi="Times New Roman" w:cs="Times New Roman"/>
          <w:sz w:val="24"/>
          <w:szCs w:val="24"/>
        </w:rPr>
        <w:t>eliminasyon</w:t>
      </w:r>
      <w:proofErr w:type="gramEnd"/>
      <w:r w:rsidR="001B1EEC" w:rsidRPr="007D47BE">
        <w:rPr>
          <w:rFonts w:ascii="Times New Roman" w:hAnsi="Times New Roman" w:cs="Times New Roman"/>
          <w:sz w:val="24"/>
          <w:szCs w:val="24"/>
        </w:rPr>
        <w:t xml:space="preserve"> yarı ömrü dağılım fazı için 3.7 ± 2.7 saat, eliminasyon</w:t>
      </w:r>
    </w:p>
    <w:p w:rsidR="001B1EEC" w:rsidRPr="007D47BE" w:rsidRDefault="001B1EEC" w:rsidP="00CB284A">
      <w:pPr>
        <w:spacing w:after="0"/>
        <w:jc w:val="both"/>
        <w:rPr>
          <w:rFonts w:ascii="Times New Roman" w:hAnsi="Times New Roman" w:cs="Times New Roman"/>
          <w:sz w:val="24"/>
          <w:szCs w:val="24"/>
        </w:rPr>
      </w:pPr>
      <w:proofErr w:type="gramStart"/>
      <w:r w:rsidRPr="007D47BE">
        <w:rPr>
          <w:rFonts w:ascii="Times New Roman" w:hAnsi="Times New Roman" w:cs="Times New Roman"/>
          <w:sz w:val="24"/>
          <w:szCs w:val="24"/>
        </w:rPr>
        <w:t>fazı</w:t>
      </w:r>
      <w:proofErr w:type="gramEnd"/>
      <w:r w:rsidRPr="007D47BE">
        <w:rPr>
          <w:rFonts w:ascii="Times New Roman" w:hAnsi="Times New Roman" w:cs="Times New Roman"/>
          <w:sz w:val="24"/>
          <w:szCs w:val="24"/>
        </w:rPr>
        <w:t xml:space="preserve"> için 9.6 ± 4.4 saattir.</w:t>
      </w:r>
    </w:p>
    <w:p w:rsidR="00FF7404" w:rsidRPr="007D47BE" w:rsidRDefault="00FF7404"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u w:val="single"/>
        </w:rPr>
        <w:t>Eliminasyon:</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İdrarda bulunan </w:t>
      </w:r>
      <w:r w:rsidR="009A5468" w:rsidRPr="007D47BE">
        <w:rPr>
          <w:rFonts w:ascii="Times New Roman" w:hAnsi="Times New Roman" w:cs="Times New Roman"/>
          <w:sz w:val="24"/>
          <w:szCs w:val="24"/>
        </w:rPr>
        <w:t>inhibitör</w:t>
      </w:r>
      <w:r w:rsidRPr="007D47BE">
        <w:rPr>
          <w:rFonts w:ascii="Times New Roman" w:hAnsi="Times New Roman" w:cs="Times New Roman"/>
          <w:sz w:val="24"/>
          <w:szCs w:val="24"/>
        </w:rPr>
        <w:t xml:space="preserve"> maddenin oranı, verilen dozun;% </w:t>
      </w:r>
      <w:proofErr w:type="gramStart"/>
      <w:r w:rsidRPr="007D47BE">
        <w:rPr>
          <w:rFonts w:ascii="Times New Roman" w:hAnsi="Times New Roman" w:cs="Times New Roman"/>
          <w:sz w:val="24"/>
          <w:szCs w:val="24"/>
        </w:rPr>
        <w:t>1.7'si</w:t>
      </w:r>
      <w:proofErr w:type="gramEnd"/>
      <w:r w:rsidRPr="007D47BE">
        <w:rPr>
          <w:rFonts w:ascii="Times New Roman" w:hAnsi="Times New Roman" w:cs="Times New Roman"/>
          <w:sz w:val="24"/>
          <w:szCs w:val="24"/>
        </w:rPr>
        <w:t xml:space="preserve"> olarak bulunmuştur.</w:t>
      </w:r>
      <w:r w:rsidR="00807EFB" w:rsidRPr="007D47BE">
        <w:rPr>
          <w:rFonts w:ascii="Times New Roman" w:hAnsi="Times New Roman" w:cs="Times New Roman"/>
          <w:sz w:val="24"/>
          <w:szCs w:val="24"/>
        </w:rPr>
        <w:t xml:space="preserve"> </w:t>
      </w:r>
      <w:r w:rsidRPr="007D47BE">
        <w:rPr>
          <w:rFonts w:ascii="Times New Roman" w:hAnsi="Times New Roman" w:cs="Times New Roman"/>
          <w:sz w:val="24"/>
          <w:szCs w:val="24"/>
        </w:rPr>
        <w:t>Aktivitenin % 51'i ise 96 saatte feçesle elimine edilmiştir.</w:t>
      </w:r>
    </w:p>
    <w:p w:rsidR="00FF7404" w:rsidRPr="007D47BE" w:rsidRDefault="00FF7404"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u w:val="single"/>
        </w:rPr>
        <w:t>Doğrusallık/doğrusal olmayan durum:</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Akarboz çok düşük miktarda emilmektedir. Bu nedenle farmakokinetiğinin doğrusallığı ile ilgili</w:t>
      </w:r>
      <w:r w:rsidR="00807EFB" w:rsidRPr="007D47BE">
        <w:rPr>
          <w:rFonts w:ascii="Times New Roman" w:hAnsi="Times New Roman" w:cs="Times New Roman"/>
          <w:sz w:val="24"/>
          <w:szCs w:val="24"/>
        </w:rPr>
        <w:t xml:space="preserve"> </w:t>
      </w:r>
      <w:r w:rsidRPr="007D47BE">
        <w:rPr>
          <w:rFonts w:ascii="Times New Roman" w:hAnsi="Times New Roman" w:cs="Times New Roman"/>
          <w:sz w:val="24"/>
          <w:szCs w:val="24"/>
        </w:rPr>
        <w:t>bilgi bulunmamaktadır.</w:t>
      </w:r>
    </w:p>
    <w:p w:rsidR="00781381" w:rsidRPr="007D47BE" w:rsidRDefault="00781381" w:rsidP="00CB284A">
      <w:pPr>
        <w:spacing w:after="0"/>
        <w:jc w:val="both"/>
        <w:rPr>
          <w:rFonts w:ascii="Times New Roman" w:hAnsi="Times New Roman" w:cs="Times New Roman"/>
          <w:sz w:val="24"/>
          <w:szCs w:val="24"/>
        </w:rPr>
      </w:pPr>
    </w:p>
    <w:p w:rsidR="001B1EEC" w:rsidRPr="007D47BE" w:rsidRDefault="00CB706F"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lastRenderedPageBreak/>
        <w:t>5.3.</w:t>
      </w:r>
      <w:r w:rsidRPr="007D47BE">
        <w:rPr>
          <w:rFonts w:ascii="Times New Roman" w:hAnsi="Times New Roman" w:cs="Times New Roman"/>
          <w:sz w:val="24"/>
          <w:szCs w:val="24"/>
        </w:rPr>
        <w:tab/>
      </w:r>
      <w:r w:rsidR="001B1EEC" w:rsidRPr="007D47BE">
        <w:rPr>
          <w:rFonts w:ascii="Times New Roman" w:hAnsi="Times New Roman" w:cs="Times New Roman"/>
          <w:b/>
          <w:bCs/>
          <w:sz w:val="24"/>
          <w:szCs w:val="24"/>
        </w:rPr>
        <w:t>Klinik öncesi güvenlilik verileri</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Akut toksisite</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Oral veya intravenöz uygulanmış akarboz ile ilgili akut toksisite çalışmaları fare, sıçan ve</w:t>
      </w:r>
      <w:r w:rsidR="00807EFB" w:rsidRPr="007D47BE">
        <w:rPr>
          <w:rFonts w:ascii="Times New Roman" w:hAnsi="Times New Roman" w:cs="Times New Roman"/>
          <w:sz w:val="24"/>
          <w:szCs w:val="24"/>
        </w:rPr>
        <w:t xml:space="preserve"> </w:t>
      </w:r>
      <w:r w:rsidRPr="007D47BE">
        <w:rPr>
          <w:rFonts w:ascii="Times New Roman" w:hAnsi="Times New Roman" w:cs="Times New Roman"/>
          <w:sz w:val="24"/>
          <w:szCs w:val="24"/>
        </w:rPr>
        <w:t>köpeklerde yapılmıştır. Sonuçlar özet olarak aşağıdaki tabloda verilmiştir.</w:t>
      </w:r>
    </w:p>
    <w:p w:rsidR="00FF7404" w:rsidRPr="007D47BE" w:rsidRDefault="00FF7404"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275"/>
        <w:gridCol w:w="936"/>
        <w:gridCol w:w="1609"/>
        <w:gridCol w:w="1559"/>
        <w:gridCol w:w="2340"/>
      </w:tblGrid>
      <w:tr w:rsidR="001B1EEC" w:rsidRPr="007D47BE" w:rsidTr="0006417B">
        <w:trPr>
          <w:trHeight w:hRule="exact" w:val="445"/>
        </w:trPr>
        <w:tc>
          <w:tcPr>
            <w:tcW w:w="2275"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Tür</w:t>
            </w:r>
          </w:p>
        </w:tc>
        <w:tc>
          <w:tcPr>
            <w:tcW w:w="936"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Cins</w:t>
            </w:r>
          </w:p>
        </w:tc>
        <w:tc>
          <w:tcPr>
            <w:tcW w:w="1609"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Uygulama yolu</w:t>
            </w:r>
          </w:p>
        </w:tc>
        <w:tc>
          <w:tcPr>
            <w:tcW w:w="1559"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LD</w:t>
            </w:r>
            <w:r w:rsidRPr="007D47BE">
              <w:rPr>
                <w:rFonts w:ascii="Times New Roman" w:hAnsi="Times New Roman" w:cs="Times New Roman"/>
                <w:vertAlign w:val="subscript"/>
              </w:rPr>
              <w:t>50</w:t>
            </w:r>
            <w:r w:rsidRPr="007D47BE">
              <w:rPr>
                <w:rFonts w:ascii="Times New Roman" w:hAnsi="Times New Roman" w:cs="Times New Roman"/>
              </w:rPr>
              <w:t>SIU/kg</w:t>
            </w:r>
            <w:r w:rsidRPr="007D47BE">
              <w:rPr>
                <w:rFonts w:ascii="Times New Roman" w:hAnsi="Times New Roman" w:cs="Times New Roman"/>
                <w:vertAlign w:val="superscript"/>
              </w:rPr>
              <w:t>3</w:t>
            </w:r>
          </w:p>
        </w:tc>
        <w:tc>
          <w:tcPr>
            <w:tcW w:w="2340"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Güven aralığı, p&lt;0.05</w:t>
            </w:r>
          </w:p>
          <w:p w:rsidR="0006417B" w:rsidRPr="007D47BE" w:rsidRDefault="0006417B" w:rsidP="00CB284A">
            <w:pPr>
              <w:spacing w:after="0"/>
              <w:jc w:val="both"/>
              <w:rPr>
                <w:rFonts w:ascii="Times New Roman" w:hAnsi="Times New Roman" w:cs="Times New Roman"/>
              </w:rPr>
            </w:pPr>
          </w:p>
          <w:p w:rsidR="0006417B" w:rsidRPr="007D47BE" w:rsidRDefault="0006417B" w:rsidP="00CB284A">
            <w:pPr>
              <w:spacing w:after="0"/>
              <w:jc w:val="both"/>
              <w:rPr>
                <w:rFonts w:ascii="Times New Roman" w:hAnsi="Times New Roman" w:cs="Times New Roman"/>
              </w:rPr>
            </w:pPr>
          </w:p>
        </w:tc>
      </w:tr>
      <w:tr w:rsidR="001B1EEC" w:rsidRPr="007D47BE" w:rsidTr="0006417B">
        <w:trPr>
          <w:trHeight w:hRule="exact" w:val="312"/>
        </w:trPr>
        <w:tc>
          <w:tcPr>
            <w:tcW w:w="2275"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Fare</w:t>
            </w:r>
          </w:p>
        </w:tc>
        <w:tc>
          <w:tcPr>
            <w:tcW w:w="936"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m</w:t>
            </w:r>
            <w:r w:rsidRPr="007D47BE">
              <w:rPr>
                <w:rFonts w:ascii="Times New Roman" w:hAnsi="Times New Roman" w:cs="Times New Roman"/>
                <w:vertAlign w:val="superscript"/>
              </w:rPr>
              <w:t>1</w:t>
            </w:r>
          </w:p>
        </w:tc>
        <w:tc>
          <w:tcPr>
            <w:tcW w:w="1609"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per os</w:t>
            </w:r>
          </w:p>
        </w:tc>
        <w:tc>
          <w:tcPr>
            <w:tcW w:w="1559"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&gt;1000000</w:t>
            </w:r>
          </w:p>
        </w:tc>
        <w:tc>
          <w:tcPr>
            <w:tcW w:w="2340" w:type="dxa"/>
            <w:shd w:val="clear" w:color="auto" w:fill="FFFFFF"/>
          </w:tcPr>
          <w:p w:rsidR="001B1EEC" w:rsidRPr="007D47BE" w:rsidRDefault="001B1EEC" w:rsidP="00CB284A">
            <w:pPr>
              <w:spacing w:after="0"/>
              <w:jc w:val="both"/>
              <w:rPr>
                <w:rFonts w:ascii="Times New Roman" w:hAnsi="Times New Roman" w:cs="Times New Roman"/>
              </w:rPr>
            </w:pPr>
          </w:p>
        </w:tc>
      </w:tr>
      <w:tr w:rsidR="001B1EEC" w:rsidRPr="007D47BE" w:rsidTr="0006417B">
        <w:trPr>
          <w:trHeight w:hRule="exact" w:val="293"/>
        </w:trPr>
        <w:tc>
          <w:tcPr>
            <w:tcW w:w="2275"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Fare</w:t>
            </w:r>
          </w:p>
        </w:tc>
        <w:tc>
          <w:tcPr>
            <w:tcW w:w="936" w:type="dxa"/>
            <w:shd w:val="clear" w:color="auto" w:fill="FFFFFF"/>
          </w:tcPr>
          <w:p w:rsidR="001B1EEC" w:rsidRPr="007D47BE" w:rsidRDefault="001B1EEC" w:rsidP="00CB284A">
            <w:pPr>
              <w:spacing w:after="0"/>
              <w:jc w:val="both"/>
              <w:rPr>
                <w:rFonts w:ascii="Times New Roman" w:hAnsi="Times New Roman" w:cs="Times New Roman"/>
              </w:rPr>
            </w:pPr>
            <w:proofErr w:type="gramStart"/>
            <w:r w:rsidRPr="007D47BE">
              <w:rPr>
                <w:rFonts w:ascii="Times New Roman" w:hAnsi="Times New Roman" w:cs="Times New Roman"/>
              </w:rPr>
              <w:t>m</w:t>
            </w:r>
            <w:proofErr w:type="gramEnd"/>
          </w:p>
        </w:tc>
        <w:tc>
          <w:tcPr>
            <w:tcW w:w="1609" w:type="dxa"/>
            <w:shd w:val="clear" w:color="auto" w:fill="FFFFFF"/>
          </w:tcPr>
          <w:p w:rsidR="001B1EEC" w:rsidRPr="007D47BE" w:rsidRDefault="001B1EEC" w:rsidP="00CB284A">
            <w:pPr>
              <w:spacing w:after="0"/>
              <w:jc w:val="both"/>
              <w:rPr>
                <w:rFonts w:ascii="Times New Roman" w:hAnsi="Times New Roman" w:cs="Times New Roman"/>
              </w:rPr>
            </w:pPr>
            <w:proofErr w:type="gramStart"/>
            <w:r w:rsidRPr="007D47BE">
              <w:rPr>
                <w:rFonts w:ascii="Times New Roman" w:hAnsi="Times New Roman" w:cs="Times New Roman"/>
              </w:rPr>
              <w:t>i</w:t>
            </w:r>
            <w:proofErr w:type="gramEnd"/>
            <w:r w:rsidRPr="007D47BE">
              <w:rPr>
                <w:rFonts w:ascii="Times New Roman" w:hAnsi="Times New Roman" w:cs="Times New Roman"/>
              </w:rPr>
              <w:t>.v.</w:t>
            </w:r>
          </w:p>
        </w:tc>
        <w:tc>
          <w:tcPr>
            <w:tcW w:w="1559"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&gt;500000</w:t>
            </w:r>
          </w:p>
        </w:tc>
        <w:tc>
          <w:tcPr>
            <w:tcW w:w="2340" w:type="dxa"/>
            <w:shd w:val="clear" w:color="auto" w:fill="FFFFFF"/>
          </w:tcPr>
          <w:p w:rsidR="001B1EEC" w:rsidRPr="007D47BE" w:rsidRDefault="001B1EEC" w:rsidP="00CB284A">
            <w:pPr>
              <w:spacing w:after="0"/>
              <w:jc w:val="both"/>
              <w:rPr>
                <w:rFonts w:ascii="Times New Roman" w:hAnsi="Times New Roman" w:cs="Times New Roman"/>
              </w:rPr>
            </w:pPr>
          </w:p>
        </w:tc>
      </w:tr>
      <w:tr w:rsidR="001B1EEC" w:rsidRPr="007D47BE" w:rsidTr="0006417B">
        <w:trPr>
          <w:trHeight w:hRule="exact" w:val="269"/>
        </w:trPr>
        <w:tc>
          <w:tcPr>
            <w:tcW w:w="2275"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Sıçan</w:t>
            </w:r>
          </w:p>
        </w:tc>
        <w:tc>
          <w:tcPr>
            <w:tcW w:w="936" w:type="dxa"/>
            <w:shd w:val="clear" w:color="auto" w:fill="FFFFFF"/>
          </w:tcPr>
          <w:p w:rsidR="001B1EEC" w:rsidRPr="007D47BE" w:rsidRDefault="001B1EEC" w:rsidP="00CB284A">
            <w:pPr>
              <w:spacing w:after="0"/>
              <w:jc w:val="both"/>
              <w:rPr>
                <w:rFonts w:ascii="Times New Roman" w:hAnsi="Times New Roman" w:cs="Times New Roman"/>
              </w:rPr>
            </w:pPr>
            <w:proofErr w:type="gramStart"/>
            <w:r w:rsidRPr="007D47BE">
              <w:rPr>
                <w:rFonts w:ascii="Times New Roman" w:hAnsi="Times New Roman" w:cs="Times New Roman"/>
              </w:rPr>
              <w:t>m</w:t>
            </w:r>
            <w:proofErr w:type="gramEnd"/>
          </w:p>
        </w:tc>
        <w:tc>
          <w:tcPr>
            <w:tcW w:w="1609"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per os</w:t>
            </w:r>
          </w:p>
        </w:tc>
        <w:tc>
          <w:tcPr>
            <w:tcW w:w="1559"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&gt;1000000</w:t>
            </w:r>
          </w:p>
        </w:tc>
        <w:tc>
          <w:tcPr>
            <w:tcW w:w="2340" w:type="dxa"/>
            <w:shd w:val="clear" w:color="auto" w:fill="FFFFFF"/>
          </w:tcPr>
          <w:p w:rsidR="001B1EEC" w:rsidRPr="007D47BE" w:rsidRDefault="001B1EEC" w:rsidP="00CB284A">
            <w:pPr>
              <w:spacing w:after="0"/>
              <w:jc w:val="both"/>
              <w:rPr>
                <w:rFonts w:ascii="Times New Roman" w:hAnsi="Times New Roman" w:cs="Times New Roman"/>
              </w:rPr>
            </w:pPr>
          </w:p>
        </w:tc>
      </w:tr>
      <w:tr w:rsidR="001B1EEC" w:rsidRPr="007D47BE" w:rsidTr="0006417B">
        <w:trPr>
          <w:trHeight w:hRule="exact" w:val="274"/>
        </w:trPr>
        <w:tc>
          <w:tcPr>
            <w:tcW w:w="2275"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Sıçan</w:t>
            </w:r>
          </w:p>
        </w:tc>
        <w:tc>
          <w:tcPr>
            <w:tcW w:w="936" w:type="dxa"/>
            <w:shd w:val="clear" w:color="auto" w:fill="FFFFFF"/>
          </w:tcPr>
          <w:p w:rsidR="001B1EEC" w:rsidRPr="007D47BE" w:rsidRDefault="001B1EEC" w:rsidP="00CB284A">
            <w:pPr>
              <w:spacing w:after="0"/>
              <w:jc w:val="both"/>
              <w:rPr>
                <w:rFonts w:ascii="Times New Roman" w:hAnsi="Times New Roman" w:cs="Times New Roman"/>
              </w:rPr>
            </w:pPr>
            <w:proofErr w:type="gramStart"/>
            <w:r w:rsidRPr="007D47BE">
              <w:rPr>
                <w:rFonts w:ascii="Times New Roman" w:hAnsi="Times New Roman" w:cs="Times New Roman"/>
              </w:rPr>
              <w:t>m</w:t>
            </w:r>
            <w:proofErr w:type="gramEnd"/>
          </w:p>
        </w:tc>
        <w:tc>
          <w:tcPr>
            <w:tcW w:w="1609" w:type="dxa"/>
            <w:shd w:val="clear" w:color="auto" w:fill="FFFFFF"/>
          </w:tcPr>
          <w:p w:rsidR="001B1EEC" w:rsidRPr="007D47BE" w:rsidRDefault="001B1EEC" w:rsidP="00CB284A">
            <w:pPr>
              <w:spacing w:after="0"/>
              <w:jc w:val="both"/>
              <w:rPr>
                <w:rFonts w:ascii="Times New Roman" w:hAnsi="Times New Roman" w:cs="Times New Roman"/>
              </w:rPr>
            </w:pPr>
            <w:proofErr w:type="gramStart"/>
            <w:r w:rsidRPr="007D47BE">
              <w:rPr>
                <w:rFonts w:ascii="Times New Roman" w:hAnsi="Times New Roman" w:cs="Times New Roman"/>
              </w:rPr>
              <w:t>i</w:t>
            </w:r>
            <w:proofErr w:type="gramEnd"/>
            <w:r w:rsidRPr="007D47BE">
              <w:rPr>
                <w:rFonts w:ascii="Times New Roman" w:hAnsi="Times New Roman" w:cs="Times New Roman"/>
              </w:rPr>
              <w:t>.v.</w:t>
            </w:r>
          </w:p>
        </w:tc>
        <w:tc>
          <w:tcPr>
            <w:tcW w:w="1559"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478000</w:t>
            </w:r>
          </w:p>
        </w:tc>
        <w:tc>
          <w:tcPr>
            <w:tcW w:w="2340"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(421000-546000)</w:t>
            </w:r>
          </w:p>
        </w:tc>
      </w:tr>
      <w:tr w:rsidR="001B1EEC" w:rsidRPr="007D47BE" w:rsidTr="0006417B">
        <w:trPr>
          <w:trHeight w:hRule="exact" w:val="264"/>
        </w:trPr>
        <w:tc>
          <w:tcPr>
            <w:tcW w:w="2275"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Sıçan</w:t>
            </w:r>
          </w:p>
        </w:tc>
        <w:tc>
          <w:tcPr>
            <w:tcW w:w="936" w:type="dxa"/>
            <w:shd w:val="clear" w:color="auto" w:fill="FFFFFF"/>
          </w:tcPr>
          <w:p w:rsidR="001B1EEC" w:rsidRPr="007D47BE" w:rsidRDefault="00807EFB" w:rsidP="00CB284A">
            <w:pPr>
              <w:spacing w:after="0"/>
              <w:jc w:val="both"/>
              <w:rPr>
                <w:rFonts w:ascii="Times New Roman" w:hAnsi="Times New Roman" w:cs="Times New Roman"/>
              </w:rPr>
            </w:pPr>
            <w:r w:rsidRPr="007D47BE">
              <w:rPr>
                <w:rFonts w:ascii="Times New Roman" w:hAnsi="Times New Roman" w:cs="Times New Roman"/>
              </w:rPr>
              <w:t>f</w:t>
            </w:r>
            <w:r w:rsidRPr="007D47BE">
              <w:rPr>
                <w:rFonts w:ascii="Times New Roman" w:hAnsi="Times New Roman" w:cs="Times New Roman"/>
                <w:vertAlign w:val="superscript"/>
              </w:rPr>
              <w:t>2</w:t>
            </w:r>
          </w:p>
        </w:tc>
        <w:tc>
          <w:tcPr>
            <w:tcW w:w="1609" w:type="dxa"/>
            <w:shd w:val="clear" w:color="auto" w:fill="FFFFFF"/>
          </w:tcPr>
          <w:p w:rsidR="001B1EEC" w:rsidRPr="007D47BE" w:rsidRDefault="001B1EEC" w:rsidP="00CB284A">
            <w:pPr>
              <w:spacing w:after="0"/>
              <w:jc w:val="both"/>
              <w:rPr>
                <w:rFonts w:ascii="Times New Roman" w:hAnsi="Times New Roman" w:cs="Times New Roman"/>
              </w:rPr>
            </w:pPr>
            <w:proofErr w:type="gramStart"/>
            <w:r w:rsidRPr="007D47BE">
              <w:rPr>
                <w:rFonts w:ascii="Times New Roman" w:hAnsi="Times New Roman" w:cs="Times New Roman"/>
              </w:rPr>
              <w:t>i</w:t>
            </w:r>
            <w:proofErr w:type="gramEnd"/>
            <w:r w:rsidRPr="007D47BE">
              <w:rPr>
                <w:rFonts w:ascii="Times New Roman" w:hAnsi="Times New Roman" w:cs="Times New Roman"/>
              </w:rPr>
              <w:t>.v.</w:t>
            </w:r>
          </w:p>
        </w:tc>
        <w:tc>
          <w:tcPr>
            <w:tcW w:w="1559"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359000</w:t>
            </w:r>
          </w:p>
        </w:tc>
        <w:tc>
          <w:tcPr>
            <w:tcW w:w="2340"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(286000-423000)</w:t>
            </w:r>
          </w:p>
        </w:tc>
      </w:tr>
      <w:tr w:rsidR="001B1EEC" w:rsidRPr="007D47BE" w:rsidTr="0006417B">
        <w:trPr>
          <w:trHeight w:hRule="exact" w:val="269"/>
        </w:trPr>
        <w:tc>
          <w:tcPr>
            <w:tcW w:w="2275"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Köpek</w:t>
            </w:r>
          </w:p>
        </w:tc>
        <w:tc>
          <w:tcPr>
            <w:tcW w:w="936" w:type="dxa"/>
            <w:shd w:val="clear" w:color="auto" w:fill="FFFFFF"/>
          </w:tcPr>
          <w:p w:rsidR="001B1EEC" w:rsidRPr="007D47BE" w:rsidRDefault="001B1EEC" w:rsidP="00CB284A">
            <w:pPr>
              <w:spacing w:after="0"/>
              <w:jc w:val="both"/>
              <w:rPr>
                <w:rFonts w:ascii="Times New Roman" w:hAnsi="Times New Roman" w:cs="Times New Roman"/>
              </w:rPr>
            </w:pPr>
            <w:proofErr w:type="gramStart"/>
            <w:r w:rsidRPr="007D47BE">
              <w:rPr>
                <w:rFonts w:ascii="Times New Roman" w:hAnsi="Times New Roman" w:cs="Times New Roman"/>
              </w:rPr>
              <w:t>m</w:t>
            </w:r>
            <w:proofErr w:type="gramEnd"/>
            <w:r w:rsidRPr="007D47BE">
              <w:rPr>
                <w:rFonts w:ascii="Times New Roman" w:hAnsi="Times New Roman" w:cs="Times New Roman"/>
              </w:rPr>
              <w:t xml:space="preserve"> ve f</w:t>
            </w:r>
          </w:p>
        </w:tc>
        <w:tc>
          <w:tcPr>
            <w:tcW w:w="1609"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per os</w:t>
            </w:r>
          </w:p>
        </w:tc>
        <w:tc>
          <w:tcPr>
            <w:tcW w:w="1559"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&gt;650000</w:t>
            </w:r>
          </w:p>
        </w:tc>
        <w:tc>
          <w:tcPr>
            <w:tcW w:w="2340" w:type="dxa"/>
            <w:shd w:val="clear" w:color="auto" w:fill="FFFFFF"/>
          </w:tcPr>
          <w:p w:rsidR="001B1EEC" w:rsidRPr="007D47BE" w:rsidRDefault="001B1EEC" w:rsidP="00CB284A">
            <w:pPr>
              <w:spacing w:after="0"/>
              <w:jc w:val="both"/>
              <w:rPr>
                <w:rFonts w:ascii="Times New Roman" w:hAnsi="Times New Roman" w:cs="Times New Roman"/>
              </w:rPr>
            </w:pPr>
          </w:p>
        </w:tc>
      </w:tr>
      <w:tr w:rsidR="001B1EEC" w:rsidRPr="007D47BE" w:rsidTr="0006417B">
        <w:trPr>
          <w:trHeight w:hRule="exact" w:val="278"/>
        </w:trPr>
        <w:tc>
          <w:tcPr>
            <w:tcW w:w="2275"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Köpek</w:t>
            </w:r>
          </w:p>
        </w:tc>
        <w:tc>
          <w:tcPr>
            <w:tcW w:w="936" w:type="dxa"/>
            <w:shd w:val="clear" w:color="auto" w:fill="FFFFFF"/>
          </w:tcPr>
          <w:p w:rsidR="001B1EEC" w:rsidRPr="007D47BE" w:rsidRDefault="001B1EEC" w:rsidP="00CB284A">
            <w:pPr>
              <w:spacing w:after="0"/>
              <w:jc w:val="both"/>
              <w:rPr>
                <w:rFonts w:ascii="Times New Roman" w:hAnsi="Times New Roman" w:cs="Times New Roman"/>
              </w:rPr>
            </w:pPr>
            <w:proofErr w:type="gramStart"/>
            <w:r w:rsidRPr="007D47BE">
              <w:rPr>
                <w:rFonts w:ascii="Times New Roman" w:hAnsi="Times New Roman" w:cs="Times New Roman"/>
              </w:rPr>
              <w:t>m</w:t>
            </w:r>
            <w:proofErr w:type="gramEnd"/>
            <w:r w:rsidRPr="007D47BE">
              <w:rPr>
                <w:rFonts w:ascii="Times New Roman" w:hAnsi="Times New Roman" w:cs="Times New Roman"/>
              </w:rPr>
              <w:t xml:space="preserve"> ve f</w:t>
            </w:r>
          </w:p>
        </w:tc>
        <w:tc>
          <w:tcPr>
            <w:tcW w:w="1609" w:type="dxa"/>
            <w:shd w:val="clear" w:color="auto" w:fill="FFFFFF"/>
          </w:tcPr>
          <w:p w:rsidR="001B1EEC" w:rsidRPr="007D47BE" w:rsidRDefault="001B1EEC" w:rsidP="00CB284A">
            <w:pPr>
              <w:spacing w:after="0"/>
              <w:jc w:val="both"/>
              <w:rPr>
                <w:rFonts w:ascii="Times New Roman" w:hAnsi="Times New Roman" w:cs="Times New Roman"/>
              </w:rPr>
            </w:pPr>
            <w:proofErr w:type="gramStart"/>
            <w:r w:rsidRPr="007D47BE">
              <w:rPr>
                <w:rFonts w:ascii="Times New Roman" w:hAnsi="Times New Roman" w:cs="Times New Roman"/>
              </w:rPr>
              <w:t>i</w:t>
            </w:r>
            <w:proofErr w:type="gramEnd"/>
            <w:r w:rsidRPr="007D47BE">
              <w:rPr>
                <w:rFonts w:ascii="Times New Roman" w:hAnsi="Times New Roman" w:cs="Times New Roman"/>
              </w:rPr>
              <w:t>.v.</w:t>
            </w:r>
          </w:p>
        </w:tc>
        <w:tc>
          <w:tcPr>
            <w:tcW w:w="1559" w:type="dxa"/>
            <w:shd w:val="clear" w:color="auto" w:fill="FFFFFF"/>
          </w:tcPr>
          <w:p w:rsidR="001B1EEC" w:rsidRPr="007D47BE" w:rsidRDefault="001B1EEC" w:rsidP="00CB284A">
            <w:pPr>
              <w:spacing w:after="0"/>
              <w:jc w:val="both"/>
              <w:rPr>
                <w:rFonts w:ascii="Times New Roman" w:hAnsi="Times New Roman" w:cs="Times New Roman"/>
              </w:rPr>
            </w:pPr>
            <w:r w:rsidRPr="007D47BE">
              <w:rPr>
                <w:rFonts w:ascii="Times New Roman" w:hAnsi="Times New Roman" w:cs="Times New Roman"/>
              </w:rPr>
              <w:t>&gt;250000</w:t>
            </w:r>
          </w:p>
        </w:tc>
        <w:tc>
          <w:tcPr>
            <w:tcW w:w="2340" w:type="dxa"/>
            <w:shd w:val="clear" w:color="auto" w:fill="FFFFFF"/>
          </w:tcPr>
          <w:p w:rsidR="001B1EEC" w:rsidRPr="007D47BE" w:rsidRDefault="001B1EEC" w:rsidP="00CB284A">
            <w:pPr>
              <w:spacing w:after="0"/>
              <w:jc w:val="both"/>
              <w:rPr>
                <w:rFonts w:ascii="Times New Roman" w:hAnsi="Times New Roman" w:cs="Times New Roman"/>
              </w:rPr>
            </w:pPr>
          </w:p>
        </w:tc>
      </w:tr>
    </w:tbl>
    <w:p w:rsidR="001B1EEC" w:rsidRPr="007D47BE" w:rsidRDefault="001B1EEC" w:rsidP="00CB284A">
      <w:pPr>
        <w:numPr>
          <w:ilvl w:val="0"/>
          <w:numId w:val="4"/>
        </w:numPr>
        <w:spacing w:after="0"/>
        <w:jc w:val="both"/>
        <w:rPr>
          <w:rFonts w:ascii="Times New Roman" w:hAnsi="Times New Roman" w:cs="Times New Roman"/>
          <w:sz w:val="24"/>
          <w:szCs w:val="24"/>
        </w:rPr>
      </w:pPr>
      <w:r w:rsidRPr="007D47BE">
        <w:rPr>
          <w:rFonts w:ascii="Times New Roman" w:hAnsi="Times New Roman" w:cs="Times New Roman"/>
          <w:sz w:val="24"/>
          <w:szCs w:val="24"/>
        </w:rPr>
        <w:t>Erkek</w:t>
      </w:r>
    </w:p>
    <w:p w:rsidR="001B1EEC" w:rsidRPr="007D47BE" w:rsidRDefault="001B1EEC" w:rsidP="00CB284A">
      <w:pPr>
        <w:numPr>
          <w:ilvl w:val="0"/>
          <w:numId w:val="4"/>
        </w:numPr>
        <w:spacing w:after="0"/>
        <w:jc w:val="both"/>
        <w:rPr>
          <w:rFonts w:ascii="Times New Roman" w:hAnsi="Times New Roman" w:cs="Times New Roman"/>
          <w:sz w:val="24"/>
          <w:szCs w:val="24"/>
        </w:rPr>
      </w:pPr>
      <w:r w:rsidRPr="007D47BE">
        <w:rPr>
          <w:rFonts w:ascii="Times New Roman" w:hAnsi="Times New Roman" w:cs="Times New Roman"/>
          <w:sz w:val="24"/>
          <w:szCs w:val="24"/>
        </w:rPr>
        <w:t>Dişi</w:t>
      </w:r>
    </w:p>
    <w:p w:rsidR="001B1EEC" w:rsidRPr="007D47BE" w:rsidRDefault="00807EFB" w:rsidP="00CB284A">
      <w:pPr>
        <w:spacing w:after="0"/>
        <w:jc w:val="both"/>
        <w:rPr>
          <w:rFonts w:ascii="Times New Roman" w:hAnsi="Times New Roman" w:cs="Times New Roman"/>
          <w:sz w:val="24"/>
          <w:szCs w:val="24"/>
        </w:rPr>
      </w:pPr>
      <w:proofErr w:type="gramStart"/>
      <w:r w:rsidRPr="007D47BE">
        <w:rPr>
          <w:rFonts w:ascii="Times New Roman" w:hAnsi="Times New Roman" w:cs="Times New Roman"/>
          <w:sz w:val="24"/>
          <w:szCs w:val="24"/>
        </w:rPr>
        <w:t xml:space="preserve">3  </w:t>
      </w:r>
      <w:r w:rsidR="001B1EEC" w:rsidRPr="007D47BE">
        <w:rPr>
          <w:rFonts w:ascii="Times New Roman" w:hAnsi="Times New Roman" w:cs="Times New Roman"/>
          <w:sz w:val="24"/>
          <w:szCs w:val="24"/>
        </w:rPr>
        <w:t>65000</w:t>
      </w:r>
      <w:proofErr w:type="gramEnd"/>
      <w:r w:rsidR="001B1EEC" w:rsidRPr="007D47BE">
        <w:rPr>
          <w:rFonts w:ascii="Times New Roman" w:hAnsi="Times New Roman" w:cs="Times New Roman"/>
          <w:sz w:val="24"/>
          <w:szCs w:val="24"/>
        </w:rPr>
        <w:t xml:space="preserve"> SIU (sakkaroz </w:t>
      </w:r>
      <w:r w:rsidRPr="007D47BE">
        <w:rPr>
          <w:rFonts w:ascii="Times New Roman" w:hAnsi="Times New Roman" w:cs="Times New Roman"/>
          <w:sz w:val="24"/>
          <w:szCs w:val="24"/>
        </w:rPr>
        <w:t>inhibitör</w:t>
      </w:r>
      <w:r w:rsidR="001B1EEC" w:rsidRPr="007D47BE">
        <w:rPr>
          <w:rFonts w:ascii="Times New Roman" w:hAnsi="Times New Roman" w:cs="Times New Roman"/>
          <w:sz w:val="24"/>
          <w:szCs w:val="24"/>
        </w:rPr>
        <w:t xml:space="preserve"> ünitesi) yaklaşık 1 g ürüne eşdeğerdir.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Bu sonuçlara göre tek oral dozdan sonra akarboz non toksik olarak tanımlanabilir. 10 g/kg dozdan sonra bile LD</w:t>
      </w:r>
      <w:r w:rsidRPr="007D47BE">
        <w:rPr>
          <w:rFonts w:ascii="Times New Roman" w:hAnsi="Times New Roman" w:cs="Times New Roman"/>
          <w:sz w:val="24"/>
          <w:szCs w:val="24"/>
          <w:vertAlign w:val="subscript"/>
        </w:rPr>
        <w:t>50</w:t>
      </w:r>
      <w:r w:rsidRPr="007D47BE">
        <w:rPr>
          <w:rFonts w:ascii="Times New Roman" w:hAnsi="Times New Roman" w:cs="Times New Roman"/>
          <w:sz w:val="24"/>
          <w:szCs w:val="24"/>
        </w:rPr>
        <w:t xml:space="preserve"> değeri tayin edilememiştir. Ayrıca herhangi bir türde araştırılan dozlarda zehirlenme belirtileri görülmemiştir. Madde i.v. uygulamadan sonra pratik açıdan non-toksik bulunmuştur.</w:t>
      </w:r>
    </w:p>
    <w:p w:rsidR="00E56161" w:rsidRPr="007D47BE" w:rsidRDefault="00E56161"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Subkronik toksisite</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Sıçanlar ve köpekler üzerindeki tolerans çalışmaları 3 ay boyunca yapılmıştır. Sıçanlarda kullanılan akarboz dozları p.o. 50-450 mg/kg'dır. Bütün hematolojik ve kimyasal parametreler, akarboz verilmeyen kontrol grubu ile karşılaştırılmış ve değişmeden kaldığı görülmüştür. Sonrasında yapılan histopatolojik araştırmalarda benzer şekilde herhangi bir dozda zarar görülmemiştir.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Köpeklerde ise p.o. 50-450 mg/kg dozlarda kullanılmıştır. Akarboz almayan kontrol grubu ile karşılaştırıldığında, test maddesine bağlı değişiklikler hayvanın vücut ağırlığında değişim, serumun </w:t>
      </w:r>
      <w:r w:rsidR="009A5468" w:rsidRPr="007D47BE">
        <w:rPr>
          <w:rFonts w:ascii="Times New Roman" w:hAnsi="Times New Roman" w:cs="Times New Roman"/>
          <w:sz w:val="24"/>
          <w:szCs w:val="24"/>
        </w:rPr>
        <w:t>α</w:t>
      </w:r>
      <w:r w:rsidRPr="007D47BE">
        <w:rPr>
          <w:rFonts w:ascii="Times New Roman" w:hAnsi="Times New Roman" w:cs="Times New Roman"/>
          <w:sz w:val="24"/>
          <w:szCs w:val="24"/>
        </w:rPr>
        <w:t xml:space="preserve">-amilaz aktivitesi ve kan üre </w:t>
      </w:r>
      <w:proofErr w:type="gramStart"/>
      <w:r w:rsidRPr="007D47BE">
        <w:rPr>
          <w:rFonts w:ascii="Times New Roman" w:hAnsi="Times New Roman" w:cs="Times New Roman"/>
          <w:sz w:val="24"/>
          <w:szCs w:val="24"/>
        </w:rPr>
        <w:t>konsantrasyonunda</w:t>
      </w:r>
      <w:proofErr w:type="gramEnd"/>
      <w:r w:rsidRPr="007D47BE">
        <w:rPr>
          <w:rFonts w:ascii="Times New Roman" w:hAnsi="Times New Roman" w:cs="Times New Roman"/>
          <w:sz w:val="24"/>
          <w:szCs w:val="24"/>
        </w:rPr>
        <w:t xml:space="preserve"> olmuştur. Tüm doz gruplarında vücut ağırlığı değişimi, günde 350 g sabit miktarda yiyecek verildiğinde etkilenmiş ve çalışmanın ilk 4 haftasında ortalama grup değeri belirgin olarak düşmüştür. Çalışmanın 5. haftasında yiyecek miktarı günde 500 g'a çıkarıldığında, hayvanlar aynı ağırlıkta kalmıştır. Ağırlık değişimi terapötik dozu aşan miktarlarda akarboz verildiğinde test maddesinin artmış farmakodinamik aktivitesinin yansımasına ve isokalorik yiyecek dengesizliğine (karbonhidrat kaybı) bağlı olarak hızlanmıştır, bu yüzden bu gerçek bir toksik etkiyi temsil etmemektedir. Üre </w:t>
      </w:r>
      <w:proofErr w:type="gramStart"/>
      <w:r w:rsidRPr="007D47BE">
        <w:rPr>
          <w:rFonts w:ascii="Times New Roman" w:hAnsi="Times New Roman" w:cs="Times New Roman"/>
          <w:sz w:val="24"/>
          <w:szCs w:val="24"/>
        </w:rPr>
        <w:t>konsantrasyonundaki</w:t>
      </w:r>
      <w:proofErr w:type="gramEnd"/>
      <w:r w:rsidRPr="007D47BE">
        <w:rPr>
          <w:rFonts w:ascii="Times New Roman" w:hAnsi="Times New Roman" w:cs="Times New Roman"/>
          <w:sz w:val="24"/>
          <w:szCs w:val="24"/>
        </w:rPr>
        <w:t xml:space="preserve"> hafif artış ağırlık kaybı ile gelişen katabolik metabolizma durumuna bağlı tedavinin dolaylı bir sonucudur. Azalmış </w:t>
      </w:r>
      <w:r w:rsidR="009A5468" w:rsidRPr="007D47BE">
        <w:rPr>
          <w:rFonts w:ascii="Times New Roman" w:hAnsi="Times New Roman" w:cs="Times New Roman"/>
          <w:sz w:val="24"/>
          <w:szCs w:val="24"/>
        </w:rPr>
        <w:t>α</w:t>
      </w:r>
      <w:r w:rsidRPr="007D47BE">
        <w:rPr>
          <w:rFonts w:ascii="Times New Roman" w:hAnsi="Times New Roman" w:cs="Times New Roman"/>
          <w:sz w:val="24"/>
          <w:szCs w:val="24"/>
        </w:rPr>
        <w:t>-amilaz aktivitesi ise artmış farmakodinamik etkinin bir İşareti olarak değerlendirilmiştir.</w:t>
      </w:r>
    </w:p>
    <w:p w:rsidR="00C671FA" w:rsidRPr="007D47BE" w:rsidRDefault="00C671FA" w:rsidP="00CB284A">
      <w:pPr>
        <w:spacing w:after="0"/>
        <w:jc w:val="both"/>
        <w:rPr>
          <w:rFonts w:ascii="Times New Roman" w:hAnsi="Times New Roman" w:cs="Times New Roman"/>
          <w:sz w:val="24"/>
          <w:szCs w:val="24"/>
        </w:rPr>
      </w:pPr>
    </w:p>
    <w:p w:rsidR="00213F8F" w:rsidRPr="007D47BE" w:rsidRDefault="00213F8F" w:rsidP="00CB284A">
      <w:pPr>
        <w:spacing w:after="0"/>
        <w:jc w:val="both"/>
        <w:rPr>
          <w:rFonts w:ascii="Times New Roman" w:hAnsi="Times New Roman" w:cs="Times New Roman"/>
          <w:sz w:val="24"/>
          <w:szCs w:val="24"/>
        </w:rPr>
      </w:pPr>
    </w:p>
    <w:p w:rsidR="00213F8F" w:rsidRPr="007D47BE" w:rsidRDefault="00213F8F" w:rsidP="00CB284A">
      <w:pPr>
        <w:spacing w:after="0"/>
        <w:jc w:val="both"/>
        <w:rPr>
          <w:rFonts w:ascii="Times New Roman" w:hAnsi="Times New Roman" w:cs="Times New Roman"/>
          <w:sz w:val="24"/>
          <w:szCs w:val="24"/>
        </w:rPr>
      </w:pPr>
    </w:p>
    <w:p w:rsidR="00213F8F" w:rsidRPr="007D47BE" w:rsidRDefault="00213F8F"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lastRenderedPageBreak/>
        <w:t xml:space="preserve">Kronik </w:t>
      </w:r>
      <w:proofErr w:type="spellStart"/>
      <w:r w:rsidRPr="007D47BE">
        <w:rPr>
          <w:rFonts w:ascii="Times New Roman" w:hAnsi="Times New Roman" w:cs="Times New Roman"/>
          <w:sz w:val="24"/>
          <w:szCs w:val="24"/>
        </w:rPr>
        <w:t>toksisite</w:t>
      </w:r>
      <w:proofErr w:type="spellEnd"/>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Kronik çalışmalar sıçanlar, köpekler ve kobaylar üzerinde sırasıyla 24 ay, 12 ay ve 80 hafta süreyle yapılmıştır. Kronik uygulamanın etkisini araştırmaya ilave olarak, olası karsinojenik etki olup olmadığı da takip edilmiştir.</w:t>
      </w:r>
    </w:p>
    <w:p w:rsidR="00C671FA" w:rsidRPr="007D47BE" w:rsidRDefault="00C671FA"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Karsinojenisite</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Karsinojenisite etki açısından bir seri çalışma yapılmıştır: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Spraque-Dawley sıçanlarına 24-26 ay 4500 ppm akarboz içeren yiyecek verilmiştir. Uygulama</w:t>
      </w:r>
      <w:r w:rsidR="00C671FA" w:rsidRPr="007D47BE">
        <w:rPr>
          <w:rFonts w:ascii="Times New Roman" w:hAnsi="Times New Roman" w:cs="Times New Roman"/>
          <w:sz w:val="24"/>
          <w:szCs w:val="24"/>
        </w:rPr>
        <w:t xml:space="preserve"> </w:t>
      </w:r>
      <w:r w:rsidRPr="007D47BE">
        <w:rPr>
          <w:rFonts w:ascii="Times New Roman" w:hAnsi="Times New Roman" w:cs="Times New Roman"/>
          <w:sz w:val="24"/>
          <w:szCs w:val="24"/>
        </w:rPr>
        <w:t>hayvanların belirgin biçimde kötü beslenmesine neden olmuştur. Çalışmada özellikle hormona</w:t>
      </w:r>
      <w:r w:rsidR="00C671FA" w:rsidRPr="007D47BE">
        <w:rPr>
          <w:rFonts w:ascii="Times New Roman" w:hAnsi="Times New Roman" w:cs="Times New Roman"/>
          <w:sz w:val="24"/>
          <w:szCs w:val="24"/>
        </w:rPr>
        <w:t xml:space="preserve"> </w:t>
      </w:r>
      <w:r w:rsidRPr="007D47BE">
        <w:rPr>
          <w:rFonts w:ascii="Times New Roman" w:hAnsi="Times New Roman" w:cs="Times New Roman"/>
          <w:sz w:val="24"/>
          <w:szCs w:val="24"/>
        </w:rPr>
        <w:t>bağlı tümör hızı azalırken, kontrol grubu ile karşılaştırıldığında doza bağlı böbrek parankiması</w:t>
      </w:r>
      <w:r w:rsidR="00C671FA" w:rsidRPr="007D47BE">
        <w:rPr>
          <w:rFonts w:ascii="Times New Roman" w:hAnsi="Times New Roman" w:cs="Times New Roman"/>
          <w:sz w:val="24"/>
          <w:szCs w:val="24"/>
        </w:rPr>
        <w:t xml:space="preserve"> </w:t>
      </w:r>
      <w:r w:rsidRPr="007D47BE">
        <w:rPr>
          <w:rFonts w:ascii="Times New Roman" w:hAnsi="Times New Roman" w:cs="Times New Roman"/>
          <w:sz w:val="24"/>
          <w:szCs w:val="24"/>
        </w:rPr>
        <w:t>tümörleri (adenom, hipernefroid karsinom) görülmüştür.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Daha sonra kötü beslenmeyi önlemek için, glukoz takviyesi yapılan hayvanlarla çalışılmış, 4500</w:t>
      </w:r>
      <w:r w:rsidR="00C671FA" w:rsidRPr="007D47BE">
        <w:rPr>
          <w:rFonts w:ascii="Times New Roman" w:hAnsi="Times New Roman" w:cs="Times New Roman"/>
          <w:sz w:val="24"/>
          <w:szCs w:val="24"/>
        </w:rPr>
        <w:t xml:space="preserve"> </w:t>
      </w:r>
      <w:r w:rsidRPr="007D47BE">
        <w:rPr>
          <w:rFonts w:ascii="Times New Roman" w:hAnsi="Times New Roman" w:cs="Times New Roman"/>
          <w:sz w:val="24"/>
          <w:szCs w:val="24"/>
        </w:rPr>
        <w:t>ppm akarboz ile birlikte glukoz verildiğinde vücut ağırlığının kontrol grubuna göre %10 düşük</w:t>
      </w:r>
      <w:r w:rsidR="00C671FA" w:rsidRPr="007D47BE">
        <w:rPr>
          <w:rFonts w:ascii="Times New Roman" w:hAnsi="Times New Roman" w:cs="Times New Roman"/>
          <w:sz w:val="24"/>
          <w:szCs w:val="24"/>
        </w:rPr>
        <w:t xml:space="preserve"> </w:t>
      </w:r>
      <w:r w:rsidRPr="007D47BE">
        <w:rPr>
          <w:rFonts w:ascii="Times New Roman" w:hAnsi="Times New Roman" w:cs="Times New Roman"/>
          <w:sz w:val="24"/>
          <w:szCs w:val="24"/>
        </w:rPr>
        <w:t>olduğu bulunmuştur. Böbrek tümörlerinde ise artış görülmemiştir.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Tekrarlanan çalışma glukoz verilmeden 26 ay uygulanmış ve testis Leydig hücrelerinin selim</w:t>
      </w:r>
      <w:r w:rsidR="005C175A" w:rsidRPr="007D47BE">
        <w:rPr>
          <w:rFonts w:ascii="Times New Roman" w:hAnsi="Times New Roman" w:cs="Times New Roman"/>
          <w:sz w:val="24"/>
          <w:szCs w:val="24"/>
        </w:rPr>
        <w:t xml:space="preserve"> </w:t>
      </w:r>
      <w:r w:rsidRPr="007D47BE">
        <w:rPr>
          <w:rFonts w:ascii="Times New Roman" w:hAnsi="Times New Roman" w:cs="Times New Roman"/>
          <w:sz w:val="24"/>
          <w:szCs w:val="24"/>
        </w:rPr>
        <w:t>tümörlerinde artış gözlenmiştir. Glukoz verilen tüm gruplarda glukoz düzeyi bazen patolojik</w:t>
      </w:r>
      <w:r w:rsidR="005C175A" w:rsidRPr="007D47BE">
        <w:rPr>
          <w:rFonts w:ascii="Times New Roman" w:hAnsi="Times New Roman" w:cs="Times New Roman"/>
          <w:sz w:val="24"/>
          <w:szCs w:val="24"/>
        </w:rPr>
        <w:t xml:space="preserve"> </w:t>
      </w:r>
      <w:r w:rsidRPr="007D47BE">
        <w:rPr>
          <w:rFonts w:ascii="Times New Roman" w:hAnsi="Times New Roman" w:cs="Times New Roman"/>
          <w:sz w:val="24"/>
          <w:szCs w:val="24"/>
        </w:rPr>
        <w:t>değerlere ulaşmıştır (büyük miktarda glukoz alımına bağlı diyabet).</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Doğrudan mide tübü ile akarboz uygulamasında vücut ağırlığı kontrol limitleri içinde</w:t>
      </w:r>
      <w:r w:rsidR="005C175A" w:rsidRPr="007D47BE">
        <w:rPr>
          <w:rFonts w:ascii="Times New Roman" w:hAnsi="Times New Roman" w:cs="Times New Roman"/>
          <w:sz w:val="24"/>
          <w:szCs w:val="24"/>
        </w:rPr>
        <w:t xml:space="preserve"> </w:t>
      </w:r>
      <w:r w:rsidRPr="007D47BE">
        <w:rPr>
          <w:rFonts w:ascii="Times New Roman" w:hAnsi="Times New Roman" w:cs="Times New Roman"/>
          <w:sz w:val="24"/>
          <w:szCs w:val="24"/>
        </w:rPr>
        <w:t>bulunm</w:t>
      </w:r>
      <w:r w:rsidR="005C175A" w:rsidRPr="007D47BE">
        <w:rPr>
          <w:rFonts w:ascii="Times New Roman" w:hAnsi="Times New Roman" w:cs="Times New Roman"/>
          <w:sz w:val="24"/>
          <w:szCs w:val="24"/>
        </w:rPr>
        <w:t xml:space="preserve">uştur. Bu çalışma </w:t>
      </w:r>
      <w:proofErr w:type="gramStart"/>
      <w:r w:rsidR="005C175A" w:rsidRPr="007D47BE">
        <w:rPr>
          <w:rFonts w:ascii="Times New Roman" w:hAnsi="Times New Roman" w:cs="Times New Roman"/>
          <w:sz w:val="24"/>
          <w:szCs w:val="24"/>
        </w:rPr>
        <w:t>dizaynı</w:t>
      </w:r>
      <w:proofErr w:type="gramEnd"/>
      <w:r w:rsidR="005C175A" w:rsidRPr="007D47BE">
        <w:rPr>
          <w:rFonts w:ascii="Times New Roman" w:hAnsi="Times New Roman" w:cs="Times New Roman"/>
          <w:sz w:val="24"/>
          <w:szCs w:val="24"/>
        </w:rPr>
        <w:t xml:space="preserve"> ile </w:t>
      </w:r>
      <w:r w:rsidRPr="007D47BE">
        <w:rPr>
          <w:rFonts w:ascii="Times New Roman" w:hAnsi="Times New Roman" w:cs="Times New Roman"/>
          <w:sz w:val="24"/>
          <w:szCs w:val="24"/>
        </w:rPr>
        <w:t>yükselmiş farmakodinamik aktivite engellenmiştir. Tümör</w:t>
      </w:r>
      <w:r w:rsidR="005C175A" w:rsidRPr="007D47BE">
        <w:rPr>
          <w:rFonts w:ascii="Times New Roman" w:hAnsi="Times New Roman" w:cs="Times New Roman"/>
          <w:sz w:val="24"/>
          <w:szCs w:val="24"/>
        </w:rPr>
        <w:t xml:space="preserve"> </w:t>
      </w:r>
      <w:r w:rsidRPr="007D47BE">
        <w:rPr>
          <w:rFonts w:ascii="Times New Roman" w:hAnsi="Times New Roman" w:cs="Times New Roman"/>
          <w:sz w:val="24"/>
          <w:szCs w:val="24"/>
        </w:rPr>
        <w:t>hızı ise normal bulunmuştur.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Wistar sıçanlarına 80 ay 0-4500 ppm akarboz yiyeceklerin içinde verilmiş veya mide tübü ile</w:t>
      </w:r>
      <w:r w:rsidR="005C175A" w:rsidRPr="007D47BE">
        <w:rPr>
          <w:rFonts w:ascii="Times New Roman" w:hAnsi="Times New Roman" w:cs="Times New Roman"/>
          <w:sz w:val="24"/>
          <w:szCs w:val="24"/>
        </w:rPr>
        <w:t xml:space="preserve"> </w:t>
      </w:r>
      <w:r w:rsidRPr="007D47BE">
        <w:rPr>
          <w:rFonts w:ascii="Times New Roman" w:hAnsi="Times New Roman" w:cs="Times New Roman"/>
          <w:sz w:val="24"/>
          <w:szCs w:val="24"/>
        </w:rPr>
        <w:t>uygulanmıştır. Yiyecekle birlikte akarboz verildiğinde ağırlık kaybı gözlenmemiştir. 500 ppm</w:t>
      </w:r>
      <w:r w:rsidR="005C175A" w:rsidRPr="007D47BE">
        <w:rPr>
          <w:rFonts w:ascii="Times New Roman" w:hAnsi="Times New Roman" w:cs="Times New Roman"/>
          <w:sz w:val="24"/>
          <w:szCs w:val="24"/>
        </w:rPr>
        <w:t xml:space="preserve"> </w:t>
      </w:r>
      <w:r w:rsidRPr="007D47BE">
        <w:rPr>
          <w:rFonts w:ascii="Times New Roman" w:hAnsi="Times New Roman" w:cs="Times New Roman"/>
          <w:sz w:val="24"/>
          <w:szCs w:val="24"/>
        </w:rPr>
        <w:t>akarboz ile çekum genişlemiştir. Tümör hızı azalmış ve tümör insidansının arttığına ilişkin bir</w:t>
      </w:r>
      <w:r w:rsidR="005C175A" w:rsidRPr="007D47BE">
        <w:rPr>
          <w:rFonts w:ascii="Times New Roman" w:hAnsi="Times New Roman" w:cs="Times New Roman"/>
          <w:sz w:val="24"/>
          <w:szCs w:val="24"/>
        </w:rPr>
        <w:t xml:space="preserve"> </w:t>
      </w:r>
      <w:r w:rsidRPr="007D47BE">
        <w:rPr>
          <w:rFonts w:ascii="Times New Roman" w:hAnsi="Times New Roman" w:cs="Times New Roman"/>
          <w:sz w:val="24"/>
          <w:szCs w:val="24"/>
        </w:rPr>
        <w:t>delil bulunmamıştır.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Kobaylara 80 hafta glukozla birlikte veya glukozsuz 0-4000 ppm akarboz içeren yiyecek</w:t>
      </w:r>
      <w:r w:rsidR="005C175A" w:rsidRPr="007D47BE">
        <w:rPr>
          <w:rFonts w:ascii="Times New Roman" w:hAnsi="Times New Roman" w:cs="Times New Roman"/>
          <w:sz w:val="24"/>
          <w:szCs w:val="24"/>
        </w:rPr>
        <w:t xml:space="preserve"> </w:t>
      </w:r>
      <w:r w:rsidRPr="007D47BE">
        <w:rPr>
          <w:rFonts w:ascii="Times New Roman" w:hAnsi="Times New Roman" w:cs="Times New Roman"/>
          <w:sz w:val="24"/>
          <w:szCs w:val="24"/>
        </w:rPr>
        <w:t xml:space="preserve">verilmiş, en yüksek doz grubundaki hayvanlarda kan glukoz </w:t>
      </w:r>
      <w:proofErr w:type="gramStart"/>
      <w:r w:rsidRPr="007D47BE">
        <w:rPr>
          <w:rFonts w:ascii="Times New Roman" w:hAnsi="Times New Roman" w:cs="Times New Roman"/>
          <w:sz w:val="24"/>
          <w:szCs w:val="24"/>
        </w:rPr>
        <w:t>konsantrasyonunun</w:t>
      </w:r>
      <w:proofErr w:type="gramEnd"/>
      <w:r w:rsidRPr="007D47BE">
        <w:rPr>
          <w:rFonts w:ascii="Times New Roman" w:hAnsi="Times New Roman" w:cs="Times New Roman"/>
          <w:sz w:val="24"/>
          <w:szCs w:val="24"/>
        </w:rPr>
        <w:t xml:space="preserve"> arttığı</w:t>
      </w:r>
      <w:r w:rsidR="005C175A" w:rsidRPr="007D47BE">
        <w:rPr>
          <w:rFonts w:ascii="Times New Roman" w:hAnsi="Times New Roman" w:cs="Times New Roman"/>
          <w:sz w:val="24"/>
          <w:szCs w:val="24"/>
        </w:rPr>
        <w:t xml:space="preserve"> </w:t>
      </w:r>
      <w:r w:rsidRPr="007D47BE">
        <w:rPr>
          <w:rFonts w:ascii="Times New Roman" w:hAnsi="Times New Roman" w:cs="Times New Roman"/>
          <w:sz w:val="24"/>
          <w:szCs w:val="24"/>
        </w:rPr>
        <w:t>görülmüştür. Tümör insidansı ise yükselmemiştir.</w:t>
      </w:r>
    </w:p>
    <w:p w:rsidR="00B45233" w:rsidRPr="007D47BE" w:rsidRDefault="00B45233"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Üreme toksikolojisi</w:t>
      </w:r>
    </w:p>
    <w:p w:rsidR="005C175A"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Teratojen etkilerin araştırılması için sıçan ve tavşanlara 0, 30, 120 ve 480 mg/kg dozlarda p.o.</w:t>
      </w:r>
      <w:r w:rsidR="005C175A" w:rsidRPr="007D47BE">
        <w:rPr>
          <w:rFonts w:ascii="Times New Roman" w:hAnsi="Times New Roman" w:cs="Times New Roman"/>
          <w:sz w:val="24"/>
          <w:szCs w:val="24"/>
        </w:rPr>
        <w:t xml:space="preserve"> </w:t>
      </w:r>
      <w:r w:rsidRPr="007D47BE">
        <w:rPr>
          <w:rFonts w:ascii="Times New Roman" w:hAnsi="Times New Roman" w:cs="Times New Roman"/>
          <w:sz w:val="24"/>
          <w:szCs w:val="24"/>
        </w:rPr>
        <w:t>akarboz verilmiştir. Sıçanlara gebeliğin 6-15. günleri, tavşanlara ise 6-18. günleri arasında</w:t>
      </w:r>
      <w:r w:rsidR="005C175A" w:rsidRPr="007D47BE">
        <w:rPr>
          <w:rFonts w:ascii="Times New Roman" w:hAnsi="Times New Roman" w:cs="Times New Roman"/>
          <w:sz w:val="24"/>
          <w:szCs w:val="24"/>
        </w:rPr>
        <w:t xml:space="preserve"> </w:t>
      </w:r>
      <w:r w:rsidRPr="007D47BE">
        <w:rPr>
          <w:rFonts w:ascii="Times New Roman" w:hAnsi="Times New Roman" w:cs="Times New Roman"/>
          <w:sz w:val="24"/>
          <w:szCs w:val="24"/>
        </w:rPr>
        <w:t>uygulanmıştır. Test edilen dozlarda teratojenik etkiye ilişkin delil bulunmamıştır.</w:t>
      </w:r>
      <w:r w:rsidR="005C175A" w:rsidRPr="007D47BE">
        <w:rPr>
          <w:rFonts w:ascii="Times New Roman" w:hAnsi="Times New Roman" w:cs="Times New Roman"/>
          <w:sz w:val="24"/>
          <w:szCs w:val="24"/>
        </w:rPr>
        <w:t xml:space="preserve"> </w:t>
      </w:r>
      <w:r w:rsidRPr="007D47BE">
        <w:rPr>
          <w:rFonts w:ascii="Times New Roman" w:hAnsi="Times New Roman" w:cs="Times New Roman"/>
          <w:sz w:val="24"/>
          <w:szCs w:val="24"/>
        </w:rPr>
        <w:t>Erkek ve dişi sıçanlarda 540 mg/kg/gün dozlarında fertilite bozulması görülmemiştir. Sıçanlara</w:t>
      </w:r>
      <w:r w:rsidR="005C175A" w:rsidRPr="007D47BE">
        <w:rPr>
          <w:rFonts w:ascii="Times New Roman" w:hAnsi="Times New Roman" w:cs="Times New Roman"/>
          <w:sz w:val="24"/>
          <w:szCs w:val="24"/>
        </w:rPr>
        <w:t xml:space="preserve"> fetüs gelişimi ve laktasyon sırasında 540 mg/kg/gün</w:t>
      </w:r>
      <w:r w:rsidRPr="007D47BE">
        <w:rPr>
          <w:rFonts w:ascii="Times New Roman" w:hAnsi="Times New Roman" w:cs="Times New Roman"/>
          <w:sz w:val="24"/>
          <w:szCs w:val="24"/>
        </w:rPr>
        <w:t xml:space="preserve"> dozuna kadar uygulanmış</w:t>
      </w:r>
      <w:r w:rsidR="005C175A" w:rsidRPr="007D47BE">
        <w:rPr>
          <w:rFonts w:ascii="Times New Roman" w:hAnsi="Times New Roman" w:cs="Times New Roman"/>
          <w:sz w:val="24"/>
          <w:szCs w:val="24"/>
        </w:rPr>
        <w:t xml:space="preserve"> </w:t>
      </w:r>
      <w:r w:rsidRPr="007D47BE">
        <w:rPr>
          <w:rFonts w:ascii="Times New Roman" w:hAnsi="Times New Roman" w:cs="Times New Roman"/>
          <w:sz w:val="24"/>
          <w:szCs w:val="24"/>
        </w:rPr>
        <w:t>akar</w:t>
      </w:r>
      <w:r w:rsidR="005C175A" w:rsidRPr="007D47BE">
        <w:rPr>
          <w:rFonts w:ascii="Times New Roman" w:hAnsi="Times New Roman" w:cs="Times New Roman"/>
          <w:sz w:val="24"/>
          <w:szCs w:val="24"/>
        </w:rPr>
        <w:t xml:space="preserve">bozun, doğum işlemi veya yavru üzerinde herhangi bir </w:t>
      </w:r>
      <w:r w:rsidRPr="007D47BE">
        <w:rPr>
          <w:rFonts w:ascii="Times New Roman" w:hAnsi="Times New Roman" w:cs="Times New Roman"/>
          <w:sz w:val="24"/>
          <w:szCs w:val="24"/>
        </w:rPr>
        <w:t>etki gözlenmemiştir.</w:t>
      </w:r>
      <w:r w:rsidR="005C175A" w:rsidRPr="007D47BE">
        <w:rPr>
          <w:rFonts w:ascii="Times New Roman" w:hAnsi="Times New Roman" w:cs="Times New Roman"/>
          <w:sz w:val="24"/>
          <w:szCs w:val="24"/>
        </w:rPr>
        <w:t xml:space="preserve"> İnsanlarda gebelik ve emzirme sırasında</w:t>
      </w:r>
      <w:r w:rsidRPr="007D47BE">
        <w:rPr>
          <w:rFonts w:ascii="Times New Roman" w:hAnsi="Times New Roman" w:cs="Times New Roman"/>
          <w:sz w:val="24"/>
          <w:szCs w:val="24"/>
        </w:rPr>
        <w:t xml:space="preserve"> </w:t>
      </w:r>
      <w:r w:rsidR="00840C34" w:rsidRPr="007D47BE">
        <w:rPr>
          <w:rFonts w:ascii="Times New Roman" w:hAnsi="Times New Roman" w:cs="Times New Roman"/>
          <w:sz w:val="24"/>
          <w:szCs w:val="24"/>
        </w:rPr>
        <w:t>OADOR</w:t>
      </w:r>
      <w:r w:rsidR="005C175A" w:rsidRPr="007D47BE">
        <w:rPr>
          <w:rFonts w:ascii="Times New Roman" w:hAnsi="Times New Roman" w:cs="Times New Roman"/>
          <w:sz w:val="24"/>
          <w:szCs w:val="24"/>
        </w:rPr>
        <w:t xml:space="preserve"> kullanımına ilişkin</w:t>
      </w:r>
      <w:r w:rsidRPr="007D47BE">
        <w:rPr>
          <w:rFonts w:ascii="Times New Roman" w:hAnsi="Times New Roman" w:cs="Times New Roman"/>
          <w:sz w:val="24"/>
          <w:szCs w:val="24"/>
        </w:rPr>
        <w:t xml:space="preserve"> veri</w:t>
      </w:r>
      <w:r w:rsidR="005C175A" w:rsidRPr="007D47BE">
        <w:rPr>
          <w:rFonts w:ascii="Times New Roman" w:hAnsi="Times New Roman" w:cs="Times New Roman"/>
          <w:sz w:val="24"/>
          <w:szCs w:val="24"/>
        </w:rPr>
        <w:t xml:space="preserve"> </w:t>
      </w:r>
      <w:r w:rsidRPr="007D47BE">
        <w:rPr>
          <w:rFonts w:ascii="Times New Roman" w:hAnsi="Times New Roman" w:cs="Times New Roman"/>
          <w:sz w:val="24"/>
          <w:szCs w:val="24"/>
        </w:rPr>
        <w:t>bulunmamaktadır.</w:t>
      </w:r>
      <w:r w:rsidR="005C175A" w:rsidRPr="007D47BE">
        <w:rPr>
          <w:rFonts w:ascii="Times New Roman" w:hAnsi="Times New Roman" w:cs="Times New Roman"/>
          <w:sz w:val="24"/>
          <w:szCs w:val="24"/>
        </w:rPr>
        <w:t xml:space="preserve"> </w:t>
      </w:r>
    </w:p>
    <w:p w:rsidR="005C175A" w:rsidRPr="007D47BE" w:rsidRDefault="005C175A"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Mutajenite</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Yapılan bir seri mutajenite çalışmasında herhangi bir genotoksik etki görülmemiştir.</w:t>
      </w:r>
    </w:p>
    <w:p w:rsidR="00781381" w:rsidRPr="007D47BE" w:rsidRDefault="00781381"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6.</w:t>
      </w:r>
      <w:r w:rsidRPr="007D47BE">
        <w:rPr>
          <w:rFonts w:ascii="Times New Roman" w:hAnsi="Times New Roman" w:cs="Times New Roman"/>
          <w:b/>
          <w:bCs/>
          <w:sz w:val="24"/>
          <w:szCs w:val="24"/>
        </w:rPr>
        <w:tab/>
        <w:t>FARMASÖTİK ÖZELLİKLER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6.1.</w:t>
      </w:r>
      <w:r w:rsidRPr="007D47BE">
        <w:rPr>
          <w:rFonts w:ascii="Times New Roman" w:hAnsi="Times New Roman" w:cs="Times New Roman"/>
          <w:b/>
          <w:bCs/>
          <w:sz w:val="24"/>
          <w:szCs w:val="24"/>
        </w:rPr>
        <w:tab/>
        <w:t>Yardımcı maddelerin listesi</w:t>
      </w:r>
    </w:p>
    <w:p w:rsidR="009A5468"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Mikrokristalin selüloz</w:t>
      </w:r>
    </w:p>
    <w:p w:rsidR="009A5468"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Mısır nişastası </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lastRenderedPageBreak/>
        <w:t>Magnezyum stearat</w:t>
      </w:r>
    </w:p>
    <w:p w:rsidR="00781381" w:rsidRPr="007D47BE" w:rsidRDefault="009A5468"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Kolloidal susuz silika</w:t>
      </w:r>
    </w:p>
    <w:p w:rsidR="009A5468" w:rsidRPr="007D47BE" w:rsidRDefault="009A5468"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6.2.</w:t>
      </w:r>
      <w:r w:rsidRPr="007D47BE">
        <w:rPr>
          <w:rFonts w:ascii="Times New Roman" w:hAnsi="Times New Roman" w:cs="Times New Roman"/>
          <w:b/>
          <w:bCs/>
          <w:sz w:val="24"/>
          <w:szCs w:val="24"/>
        </w:rPr>
        <w:tab/>
        <w:t>Geçimsizlik</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Bilinen bir geçimsizliği yoktur.</w:t>
      </w:r>
    </w:p>
    <w:p w:rsidR="00781381" w:rsidRPr="007D47BE" w:rsidRDefault="00781381"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6.3.</w:t>
      </w:r>
      <w:r w:rsidRPr="007D47BE">
        <w:rPr>
          <w:rFonts w:ascii="Times New Roman" w:hAnsi="Times New Roman" w:cs="Times New Roman"/>
          <w:b/>
          <w:bCs/>
          <w:sz w:val="24"/>
          <w:szCs w:val="24"/>
        </w:rPr>
        <w:tab/>
        <w:t>Raf ömrü</w:t>
      </w:r>
    </w:p>
    <w:p w:rsidR="001B1EEC" w:rsidRPr="007D47BE" w:rsidRDefault="009A5468" w:rsidP="00CB284A">
      <w:pPr>
        <w:spacing w:after="0"/>
        <w:jc w:val="both"/>
        <w:rPr>
          <w:rFonts w:ascii="Times New Roman" w:hAnsi="Times New Roman" w:cs="Times New Roman"/>
          <w:sz w:val="24"/>
          <w:szCs w:val="24"/>
        </w:rPr>
      </w:pPr>
      <w:r w:rsidRPr="007D47BE">
        <w:rPr>
          <w:rFonts w:ascii="Times New Roman" w:hAnsi="Times New Roman" w:cs="Times New Roman"/>
          <w:bCs/>
          <w:sz w:val="24"/>
          <w:szCs w:val="24"/>
        </w:rPr>
        <w:t>24</w:t>
      </w:r>
      <w:r w:rsidR="001B1EEC" w:rsidRPr="007D47BE">
        <w:rPr>
          <w:rFonts w:ascii="Times New Roman" w:hAnsi="Times New Roman" w:cs="Times New Roman"/>
          <w:bCs/>
          <w:sz w:val="24"/>
          <w:szCs w:val="24"/>
        </w:rPr>
        <w:t xml:space="preserve"> </w:t>
      </w:r>
      <w:r w:rsidR="001B1EEC" w:rsidRPr="007D47BE">
        <w:rPr>
          <w:rFonts w:ascii="Times New Roman" w:hAnsi="Times New Roman" w:cs="Times New Roman"/>
          <w:sz w:val="24"/>
          <w:szCs w:val="24"/>
        </w:rPr>
        <w:t>ay</w:t>
      </w:r>
    </w:p>
    <w:p w:rsidR="007874F8" w:rsidRPr="007D47BE" w:rsidRDefault="007874F8" w:rsidP="00CB284A">
      <w:pPr>
        <w:spacing w:after="0"/>
        <w:jc w:val="both"/>
        <w:rPr>
          <w:rFonts w:ascii="Times New Roman" w:hAnsi="Times New Roman" w:cs="Times New Roman"/>
          <w:b/>
          <w:bCs/>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6.4.</w:t>
      </w:r>
      <w:r w:rsidRPr="007D47BE">
        <w:rPr>
          <w:rFonts w:ascii="Times New Roman" w:hAnsi="Times New Roman" w:cs="Times New Roman"/>
          <w:b/>
          <w:bCs/>
          <w:sz w:val="24"/>
          <w:szCs w:val="24"/>
        </w:rPr>
        <w:tab/>
        <w:t>Saklamaya yönelik özel uyarılar</w:t>
      </w:r>
    </w:p>
    <w:p w:rsidR="001B1EEC" w:rsidRPr="007D47BE" w:rsidRDefault="006D0181"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25</w:t>
      </w:r>
      <w:r w:rsidR="001B1EEC" w:rsidRPr="007D47BE">
        <w:rPr>
          <w:rFonts w:ascii="Times New Roman" w:hAnsi="Times New Roman" w:cs="Times New Roman"/>
          <w:sz w:val="24"/>
          <w:szCs w:val="24"/>
        </w:rPr>
        <w:t>°C'nin altındaki, oda sıcaklığında saklayınız.</w:t>
      </w:r>
    </w:p>
    <w:p w:rsidR="00FF7404" w:rsidRPr="007D47BE" w:rsidRDefault="00FF7404"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6.5.</w:t>
      </w:r>
      <w:r w:rsidRPr="007D47BE">
        <w:rPr>
          <w:rFonts w:ascii="Times New Roman" w:hAnsi="Times New Roman" w:cs="Times New Roman"/>
          <w:b/>
          <w:bCs/>
          <w:sz w:val="24"/>
          <w:szCs w:val="24"/>
        </w:rPr>
        <w:tab/>
        <w:t>Ambalajın niteliği ve içeriği</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PVC/PVDC alüminyum </w:t>
      </w:r>
      <w:r w:rsidR="006D0181" w:rsidRPr="007D47BE">
        <w:rPr>
          <w:rFonts w:ascii="Times New Roman" w:hAnsi="Times New Roman" w:cs="Times New Roman"/>
          <w:sz w:val="24"/>
          <w:szCs w:val="24"/>
        </w:rPr>
        <w:t>blister</w:t>
      </w:r>
    </w:p>
    <w:p w:rsidR="001B1EEC" w:rsidRPr="007D47BE" w:rsidRDefault="00840C34"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OADOR</w:t>
      </w:r>
      <w:r w:rsidR="006D0181" w:rsidRPr="007D47BE">
        <w:rPr>
          <w:rFonts w:ascii="Times New Roman" w:hAnsi="Times New Roman" w:cs="Times New Roman"/>
          <w:sz w:val="24"/>
          <w:szCs w:val="24"/>
        </w:rPr>
        <w:t xml:space="preserve"> 30 </w:t>
      </w:r>
      <w:r w:rsidR="001B1EEC" w:rsidRPr="007D47BE">
        <w:rPr>
          <w:rFonts w:ascii="Times New Roman" w:hAnsi="Times New Roman" w:cs="Times New Roman"/>
          <w:sz w:val="24"/>
          <w:szCs w:val="24"/>
        </w:rPr>
        <w:t>ve 90 tablet içeren ambalajlarda bulunur.</w:t>
      </w:r>
    </w:p>
    <w:p w:rsidR="00781381" w:rsidRPr="007D47BE" w:rsidRDefault="00781381" w:rsidP="00CB284A">
      <w:pPr>
        <w:spacing w:after="0"/>
        <w:jc w:val="both"/>
        <w:rPr>
          <w:rFonts w:ascii="Times New Roman" w:hAnsi="Times New Roman" w:cs="Times New Roman"/>
          <w:sz w:val="24"/>
          <w:szCs w:val="24"/>
        </w:rPr>
      </w:pP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b/>
          <w:bCs/>
          <w:sz w:val="24"/>
          <w:szCs w:val="24"/>
        </w:rPr>
        <w:t>6.6.</w:t>
      </w:r>
      <w:r w:rsidRPr="007D47BE">
        <w:rPr>
          <w:rFonts w:ascii="Times New Roman" w:hAnsi="Times New Roman" w:cs="Times New Roman"/>
          <w:b/>
          <w:bCs/>
          <w:sz w:val="24"/>
          <w:szCs w:val="24"/>
        </w:rPr>
        <w:tab/>
        <w:t>Beşeri tıbbi üründen arta kalan maddelerin imhası ve diğer özel önlemler</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Kullanılmamış olan ürünler ya da atık materyaller "Tıbbi Atıkların Kontrolü Yönetmeliği" ve "Ambalaj ve Ambalaj Atıklarının Kontrolü Yönetmelikleri"ne uygun olarak imha edilmelidir.</w:t>
      </w:r>
    </w:p>
    <w:p w:rsidR="00140C3F" w:rsidRPr="007D47BE" w:rsidRDefault="00140C3F" w:rsidP="00CB284A">
      <w:pPr>
        <w:spacing w:after="0"/>
        <w:jc w:val="both"/>
        <w:rPr>
          <w:rFonts w:ascii="Times New Roman" w:hAnsi="Times New Roman" w:cs="Times New Roman"/>
          <w:sz w:val="24"/>
          <w:szCs w:val="24"/>
        </w:rPr>
      </w:pPr>
    </w:p>
    <w:p w:rsidR="001B1EEC" w:rsidRPr="007D47BE" w:rsidRDefault="001B1EEC" w:rsidP="00FF7404">
      <w:pPr>
        <w:tabs>
          <w:tab w:val="left" w:pos="426"/>
        </w:tabs>
        <w:spacing w:after="0"/>
        <w:jc w:val="both"/>
        <w:rPr>
          <w:rFonts w:ascii="Times New Roman" w:hAnsi="Times New Roman" w:cs="Times New Roman"/>
          <w:sz w:val="24"/>
          <w:szCs w:val="24"/>
        </w:rPr>
      </w:pPr>
      <w:r w:rsidRPr="007D47BE">
        <w:rPr>
          <w:rFonts w:ascii="Times New Roman" w:hAnsi="Times New Roman" w:cs="Times New Roman"/>
          <w:b/>
          <w:sz w:val="24"/>
          <w:szCs w:val="24"/>
        </w:rPr>
        <w:t>7.</w:t>
      </w:r>
      <w:r w:rsidRPr="007D47BE">
        <w:rPr>
          <w:rFonts w:ascii="Times New Roman" w:hAnsi="Times New Roman" w:cs="Times New Roman"/>
          <w:sz w:val="24"/>
          <w:szCs w:val="24"/>
        </w:rPr>
        <w:tab/>
      </w:r>
      <w:r w:rsidRPr="007D47BE">
        <w:rPr>
          <w:rFonts w:ascii="Times New Roman" w:hAnsi="Times New Roman" w:cs="Times New Roman"/>
          <w:b/>
          <w:bCs/>
          <w:sz w:val="24"/>
          <w:szCs w:val="24"/>
        </w:rPr>
        <w:t>RUHSAT SAHİBİ</w:t>
      </w:r>
    </w:p>
    <w:p w:rsidR="00FF7404" w:rsidRPr="007D47BE" w:rsidRDefault="00FF7404" w:rsidP="00FF7404">
      <w:pPr>
        <w:spacing w:after="0"/>
        <w:jc w:val="both"/>
        <w:rPr>
          <w:rFonts w:ascii="Times New Roman" w:hAnsi="Times New Roman" w:cs="Times New Roman"/>
          <w:sz w:val="24"/>
          <w:szCs w:val="24"/>
        </w:rPr>
      </w:pPr>
      <w:r w:rsidRPr="007D47BE">
        <w:rPr>
          <w:rFonts w:ascii="Times New Roman" w:hAnsi="Times New Roman" w:cs="Times New Roman"/>
          <w:sz w:val="24"/>
          <w:szCs w:val="24"/>
        </w:rPr>
        <w:t>Deva Holding A.Ş.</w:t>
      </w:r>
    </w:p>
    <w:p w:rsidR="00FF7404" w:rsidRPr="007D47BE" w:rsidRDefault="00FF7404" w:rsidP="00FF7404">
      <w:pPr>
        <w:spacing w:after="0"/>
        <w:jc w:val="both"/>
        <w:rPr>
          <w:rFonts w:ascii="Times New Roman" w:hAnsi="Times New Roman" w:cs="Times New Roman"/>
          <w:sz w:val="24"/>
          <w:szCs w:val="24"/>
        </w:rPr>
      </w:pPr>
      <w:r w:rsidRPr="007D47BE">
        <w:rPr>
          <w:rFonts w:ascii="Times New Roman" w:hAnsi="Times New Roman" w:cs="Times New Roman"/>
          <w:sz w:val="24"/>
          <w:szCs w:val="24"/>
        </w:rPr>
        <w:t>Halkalı Merkez Mah.Basın Ekspres Cad.</w:t>
      </w:r>
    </w:p>
    <w:p w:rsidR="00FF7404" w:rsidRPr="007D47BE" w:rsidRDefault="00FF7404" w:rsidP="00FF7404">
      <w:pPr>
        <w:spacing w:after="0"/>
        <w:jc w:val="both"/>
        <w:rPr>
          <w:rFonts w:ascii="Times New Roman" w:hAnsi="Times New Roman" w:cs="Times New Roman"/>
          <w:sz w:val="24"/>
          <w:szCs w:val="24"/>
        </w:rPr>
      </w:pPr>
      <w:r w:rsidRPr="007D47BE">
        <w:rPr>
          <w:rFonts w:ascii="Times New Roman" w:hAnsi="Times New Roman" w:cs="Times New Roman"/>
          <w:sz w:val="24"/>
          <w:szCs w:val="24"/>
        </w:rPr>
        <w:t xml:space="preserve">No: </w:t>
      </w:r>
      <w:proofErr w:type="gramStart"/>
      <w:r w:rsidRPr="007D47BE">
        <w:rPr>
          <w:rFonts w:ascii="Times New Roman" w:hAnsi="Times New Roman" w:cs="Times New Roman"/>
          <w:sz w:val="24"/>
          <w:szCs w:val="24"/>
        </w:rPr>
        <w:t>1  34303</w:t>
      </w:r>
      <w:proofErr w:type="gramEnd"/>
      <w:r w:rsidRPr="007D47BE">
        <w:rPr>
          <w:rFonts w:ascii="Times New Roman" w:hAnsi="Times New Roman" w:cs="Times New Roman"/>
          <w:sz w:val="24"/>
          <w:szCs w:val="24"/>
        </w:rPr>
        <w:t xml:space="preserve"> Küçükçekmece – İstanbul </w:t>
      </w:r>
    </w:p>
    <w:p w:rsidR="00FF7404" w:rsidRPr="007D47BE" w:rsidRDefault="00FF7404" w:rsidP="00FF7404">
      <w:pPr>
        <w:spacing w:after="0"/>
        <w:jc w:val="both"/>
        <w:rPr>
          <w:rFonts w:ascii="Times New Roman" w:hAnsi="Times New Roman" w:cs="Times New Roman"/>
          <w:sz w:val="24"/>
          <w:szCs w:val="24"/>
        </w:rPr>
      </w:pPr>
      <w:r w:rsidRPr="007D47BE">
        <w:rPr>
          <w:rFonts w:ascii="Times New Roman" w:hAnsi="Times New Roman" w:cs="Times New Roman"/>
          <w:sz w:val="24"/>
          <w:szCs w:val="24"/>
        </w:rPr>
        <w:t>Tel: 0 212 692 92 92</w:t>
      </w:r>
    </w:p>
    <w:p w:rsidR="00FF7404" w:rsidRPr="007D47BE" w:rsidRDefault="00FF7404" w:rsidP="00FF7404">
      <w:pPr>
        <w:spacing w:after="0"/>
        <w:jc w:val="both"/>
        <w:rPr>
          <w:rFonts w:ascii="Times New Roman" w:hAnsi="Times New Roman" w:cs="Times New Roman"/>
          <w:sz w:val="24"/>
          <w:szCs w:val="24"/>
        </w:rPr>
      </w:pPr>
      <w:r w:rsidRPr="007D47BE">
        <w:rPr>
          <w:rFonts w:ascii="Times New Roman" w:hAnsi="Times New Roman" w:cs="Times New Roman"/>
          <w:sz w:val="24"/>
          <w:szCs w:val="24"/>
        </w:rPr>
        <w:t>Fax: 0 212 697 00 24</w:t>
      </w:r>
    </w:p>
    <w:p w:rsidR="00140C3F" w:rsidRPr="007D47BE" w:rsidRDefault="00FF7404" w:rsidP="00FF7404">
      <w:pPr>
        <w:spacing w:after="0"/>
        <w:jc w:val="both"/>
        <w:rPr>
          <w:rFonts w:ascii="Times New Roman" w:hAnsi="Times New Roman" w:cs="Times New Roman"/>
          <w:sz w:val="24"/>
          <w:szCs w:val="24"/>
        </w:rPr>
      </w:pPr>
      <w:proofErr w:type="gramStart"/>
      <w:r w:rsidRPr="007D47BE">
        <w:rPr>
          <w:rFonts w:ascii="Times New Roman" w:hAnsi="Times New Roman" w:cs="Times New Roman"/>
          <w:sz w:val="24"/>
          <w:szCs w:val="24"/>
        </w:rPr>
        <w:t>e</w:t>
      </w:r>
      <w:proofErr w:type="gramEnd"/>
      <w:r w:rsidRPr="007D47BE">
        <w:rPr>
          <w:rFonts w:ascii="Times New Roman" w:hAnsi="Times New Roman" w:cs="Times New Roman"/>
          <w:sz w:val="24"/>
          <w:szCs w:val="24"/>
        </w:rPr>
        <w:t xml:space="preserve">-mail: deva@devaholding.com.tr  </w:t>
      </w:r>
    </w:p>
    <w:p w:rsidR="00FF7404" w:rsidRPr="007D47BE" w:rsidRDefault="00FF7404" w:rsidP="00FF7404">
      <w:pPr>
        <w:spacing w:after="0"/>
        <w:jc w:val="both"/>
        <w:rPr>
          <w:rFonts w:ascii="Times New Roman" w:hAnsi="Times New Roman" w:cs="Times New Roman"/>
          <w:sz w:val="24"/>
          <w:szCs w:val="24"/>
          <w:highlight w:val="yellow"/>
        </w:rPr>
      </w:pPr>
    </w:p>
    <w:p w:rsidR="001B1EEC" w:rsidRPr="007D47BE" w:rsidRDefault="001B1EEC" w:rsidP="00FF7404">
      <w:pPr>
        <w:tabs>
          <w:tab w:val="left" w:pos="426"/>
        </w:tabs>
        <w:spacing w:after="0"/>
        <w:jc w:val="both"/>
        <w:rPr>
          <w:rFonts w:ascii="Times New Roman" w:hAnsi="Times New Roman" w:cs="Times New Roman"/>
          <w:b/>
          <w:sz w:val="24"/>
          <w:szCs w:val="24"/>
        </w:rPr>
      </w:pPr>
      <w:r w:rsidRPr="007D47BE">
        <w:rPr>
          <w:rFonts w:ascii="Times New Roman" w:hAnsi="Times New Roman" w:cs="Times New Roman"/>
          <w:b/>
          <w:sz w:val="24"/>
          <w:szCs w:val="24"/>
        </w:rPr>
        <w:t>8.</w:t>
      </w:r>
      <w:r w:rsidRPr="007D47BE">
        <w:rPr>
          <w:rFonts w:ascii="Times New Roman" w:hAnsi="Times New Roman" w:cs="Times New Roman"/>
          <w:b/>
          <w:sz w:val="24"/>
          <w:szCs w:val="24"/>
        </w:rPr>
        <w:tab/>
        <w:t>RUHSAT NUMARASI</w:t>
      </w:r>
    </w:p>
    <w:p w:rsidR="00140C3F" w:rsidRPr="007D47BE" w:rsidRDefault="00C42823"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234/59</w:t>
      </w:r>
    </w:p>
    <w:p w:rsidR="00C42823" w:rsidRPr="007D47BE" w:rsidRDefault="00C42823" w:rsidP="00CB284A">
      <w:pPr>
        <w:spacing w:after="0"/>
        <w:jc w:val="both"/>
        <w:rPr>
          <w:rFonts w:ascii="Times New Roman" w:hAnsi="Times New Roman" w:cs="Times New Roman"/>
          <w:sz w:val="24"/>
          <w:szCs w:val="24"/>
        </w:rPr>
      </w:pPr>
    </w:p>
    <w:p w:rsidR="001B1EEC" w:rsidRPr="007D47BE" w:rsidRDefault="001B1EEC" w:rsidP="00FF7404">
      <w:pPr>
        <w:tabs>
          <w:tab w:val="left" w:pos="426"/>
        </w:tabs>
        <w:spacing w:after="0"/>
        <w:jc w:val="both"/>
        <w:rPr>
          <w:rFonts w:ascii="Times New Roman" w:hAnsi="Times New Roman" w:cs="Times New Roman"/>
          <w:b/>
          <w:sz w:val="24"/>
          <w:szCs w:val="24"/>
        </w:rPr>
      </w:pPr>
      <w:r w:rsidRPr="007D47BE">
        <w:rPr>
          <w:rFonts w:ascii="Times New Roman" w:hAnsi="Times New Roman" w:cs="Times New Roman"/>
          <w:b/>
          <w:sz w:val="24"/>
          <w:szCs w:val="24"/>
        </w:rPr>
        <w:t>9.</w:t>
      </w:r>
      <w:r w:rsidRPr="007D47BE">
        <w:rPr>
          <w:rFonts w:ascii="Times New Roman" w:hAnsi="Times New Roman" w:cs="Times New Roman"/>
          <w:b/>
          <w:sz w:val="24"/>
          <w:szCs w:val="24"/>
        </w:rPr>
        <w:tab/>
        <w:t>İLK RUHSAT TARİHİ/RUHSAT YENİLEME TARİHİ</w:t>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İlk ruhsat tarihi:</w:t>
      </w:r>
      <w:r w:rsidR="00C42823" w:rsidRPr="007D47BE">
        <w:rPr>
          <w:rFonts w:ascii="Times New Roman" w:hAnsi="Times New Roman" w:cs="Times New Roman"/>
          <w:sz w:val="24"/>
          <w:szCs w:val="24"/>
        </w:rPr>
        <w:t xml:space="preserve"> 2</w:t>
      </w:r>
      <w:r w:rsidR="001D2919" w:rsidRPr="007D47BE">
        <w:rPr>
          <w:rFonts w:ascii="Times New Roman" w:hAnsi="Times New Roman" w:cs="Times New Roman"/>
          <w:sz w:val="24"/>
          <w:szCs w:val="24"/>
        </w:rPr>
        <w:t>4</w:t>
      </w:r>
      <w:r w:rsidR="00C42823" w:rsidRPr="007D47BE">
        <w:rPr>
          <w:rFonts w:ascii="Times New Roman" w:hAnsi="Times New Roman" w:cs="Times New Roman"/>
          <w:sz w:val="24"/>
          <w:szCs w:val="24"/>
        </w:rPr>
        <w:t>.08.2011</w:t>
      </w:r>
      <w:r w:rsidRPr="007D47BE">
        <w:rPr>
          <w:rFonts w:ascii="Times New Roman" w:hAnsi="Times New Roman" w:cs="Times New Roman"/>
          <w:sz w:val="24"/>
          <w:szCs w:val="24"/>
        </w:rPr>
        <w:tab/>
      </w:r>
    </w:p>
    <w:p w:rsidR="001B1EEC" w:rsidRPr="007D47BE" w:rsidRDefault="001B1EEC" w:rsidP="00CB284A">
      <w:pPr>
        <w:spacing w:after="0"/>
        <w:jc w:val="both"/>
        <w:rPr>
          <w:rFonts w:ascii="Times New Roman" w:hAnsi="Times New Roman" w:cs="Times New Roman"/>
          <w:sz w:val="24"/>
          <w:szCs w:val="24"/>
        </w:rPr>
      </w:pPr>
      <w:r w:rsidRPr="007D47BE">
        <w:rPr>
          <w:rFonts w:ascii="Times New Roman" w:hAnsi="Times New Roman" w:cs="Times New Roman"/>
          <w:sz w:val="24"/>
          <w:szCs w:val="24"/>
        </w:rPr>
        <w:t>Ruhsat yenileme tarihi:</w:t>
      </w:r>
    </w:p>
    <w:p w:rsidR="00140C3F" w:rsidRPr="007D47BE" w:rsidRDefault="00140C3F" w:rsidP="00CB284A">
      <w:pPr>
        <w:spacing w:after="0"/>
        <w:jc w:val="both"/>
        <w:rPr>
          <w:rFonts w:ascii="Times New Roman" w:hAnsi="Times New Roman" w:cs="Times New Roman"/>
          <w:sz w:val="24"/>
          <w:szCs w:val="24"/>
        </w:rPr>
      </w:pPr>
    </w:p>
    <w:p w:rsidR="001B1EEC" w:rsidRPr="007D47BE" w:rsidRDefault="001B1EEC" w:rsidP="00FF7404">
      <w:pPr>
        <w:tabs>
          <w:tab w:val="left" w:pos="284"/>
          <w:tab w:val="left" w:pos="426"/>
        </w:tabs>
        <w:spacing w:after="0"/>
        <w:jc w:val="both"/>
        <w:rPr>
          <w:rFonts w:ascii="Times New Roman" w:hAnsi="Times New Roman" w:cs="Times New Roman"/>
          <w:b/>
          <w:sz w:val="24"/>
          <w:szCs w:val="24"/>
        </w:rPr>
      </w:pPr>
      <w:r w:rsidRPr="007D47BE">
        <w:rPr>
          <w:rFonts w:ascii="Times New Roman" w:hAnsi="Times New Roman" w:cs="Times New Roman"/>
          <w:b/>
          <w:sz w:val="24"/>
          <w:szCs w:val="24"/>
        </w:rPr>
        <w:t>10.</w:t>
      </w:r>
      <w:r w:rsidRPr="007D47BE">
        <w:rPr>
          <w:rFonts w:ascii="Times New Roman" w:hAnsi="Times New Roman" w:cs="Times New Roman"/>
          <w:b/>
          <w:sz w:val="24"/>
          <w:szCs w:val="24"/>
        </w:rPr>
        <w:tab/>
        <w:t>KÜB'ÜN YENİLENME TARİHİ</w:t>
      </w:r>
    </w:p>
    <w:p w:rsidR="0070763D" w:rsidRPr="007D47BE" w:rsidRDefault="0070763D" w:rsidP="00CB284A">
      <w:pPr>
        <w:spacing w:after="0"/>
        <w:jc w:val="both"/>
        <w:rPr>
          <w:rFonts w:ascii="Times New Roman" w:hAnsi="Times New Roman" w:cs="Times New Roman"/>
          <w:sz w:val="24"/>
          <w:szCs w:val="24"/>
        </w:rPr>
      </w:pPr>
    </w:p>
    <w:sectPr w:rsidR="0070763D" w:rsidRPr="007D47BE" w:rsidSect="00FF7404">
      <w:type w:val="continuous"/>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7A7" w:rsidRDefault="006D77A7" w:rsidP="00CB284A">
      <w:pPr>
        <w:spacing w:after="0" w:line="240" w:lineRule="auto"/>
      </w:pPr>
      <w:r>
        <w:separator/>
      </w:r>
    </w:p>
  </w:endnote>
  <w:endnote w:type="continuationSeparator" w:id="0">
    <w:p w:rsidR="006D77A7" w:rsidRDefault="006D77A7" w:rsidP="00CB2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21770"/>
      <w:docPartObj>
        <w:docPartGallery w:val="Page Numbers (Bottom of Page)"/>
        <w:docPartUnique/>
      </w:docPartObj>
    </w:sdtPr>
    <w:sdtEndPr>
      <w:rPr>
        <w:rFonts w:ascii="Times New Roman" w:hAnsi="Times New Roman" w:cs="Times New Roman"/>
        <w:sz w:val="24"/>
        <w:szCs w:val="24"/>
      </w:rPr>
    </w:sdtEndPr>
    <w:sdtContent>
      <w:p w:rsidR="00CB284A" w:rsidRPr="00CB284A" w:rsidRDefault="008359C1">
        <w:pPr>
          <w:pStyle w:val="Altbilgi"/>
          <w:jc w:val="right"/>
          <w:rPr>
            <w:rFonts w:ascii="Times New Roman" w:hAnsi="Times New Roman" w:cs="Times New Roman"/>
            <w:sz w:val="24"/>
            <w:szCs w:val="24"/>
          </w:rPr>
        </w:pPr>
        <w:r w:rsidRPr="00CB284A">
          <w:rPr>
            <w:rFonts w:ascii="Times New Roman" w:hAnsi="Times New Roman" w:cs="Times New Roman"/>
            <w:sz w:val="24"/>
            <w:szCs w:val="24"/>
          </w:rPr>
          <w:fldChar w:fldCharType="begin"/>
        </w:r>
        <w:r w:rsidR="00CB284A" w:rsidRPr="00CB284A">
          <w:rPr>
            <w:rFonts w:ascii="Times New Roman" w:hAnsi="Times New Roman" w:cs="Times New Roman"/>
            <w:sz w:val="24"/>
            <w:szCs w:val="24"/>
          </w:rPr>
          <w:instrText xml:space="preserve"> PAGE   \* MERGEFORMAT </w:instrText>
        </w:r>
        <w:r w:rsidRPr="00CB284A">
          <w:rPr>
            <w:rFonts w:ascii="Times New Roman" w:hAnsi="Times New Roman" w:cs="Times New Roman"/>
            <w:sz w:val="24"/>
            <w:szCs w:val="24"/>
          </w:rPr>
          <w:fldChar w:fldCharType="separate"/>
        </w:r>
        <w:r w:rsidR="007D47BE">
          <w:rPr>
            <w:rFonts w:ascii="Times New Roman" w:hAnsi="Times New Roman" w:cs="Times New Roman"/>
            <w:noProof/>
            <w:sz w:val="24"/>
            <w:szCs w:val="24"/>
          </w:rPr>
          <w:t>1</w:t>
        </w:r>
        <w:r w:rsidRPr="00CB284A">
          <w:rPr>
            <w:rFonts w:ascii="Times New Roman" w:hAnsi="Times New Roman" w:cs="Times New Roman"/>
            <w:sz w:val="24"/>
            <w:szCs w:val="24"/>
          </w:rPr>
          <w:fldChar w:fldCharType="end"/>
        </w:r>
      </w:p>
    </w:sdtContent>
  </w:sdt>
  <w:p w:rsidR="00CB284A" w:rsidRDefault="00CB284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7A7" w:rsidRDefault="006D77A7" w:rsidP="00CB284A">
      <w:pPr>
        <w:spacing w:after="0" w:line="240" w:lineRule="auto"/>
      </w:pPr>
      <w:r>
        <w:separator/>
      </w:r>
    </w:p>
  </w:footnote>
  <w:footnote w:type="continuationSeparator" w:id="0">
    <w:p w:rsidR="006D77A7" w:rsidRDefault="006D77A7" w:rsidP="00CB28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3E625A"/>
    <w:lvl w:ilvl="0">
      <w:numFmt w:val="bullet"/>
      <w:lvlText w:val="*"/>
      <w:lvlJc w:val="left"/>
    </w:lvl>
  </w:abstractNum>
  <w:abstractNum w:abstractNumId="1">
    <w:nsid w:val="31E54E43"/>
    <w:multiLevelType w:val="singleLevel"/>
    <w:tmpl w:val="2F24DFD6"/>
    <w:lvl w:ilvl="0">
      <w:start w:val="1"/>
      <w:numFmt w:val="decimal"/>
      <w:lvlText w:val="%1"/>
      <w:legacy w:legacy="1" w:legacySpace="0" w:legacyIndent="16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34"/>
        <w:lvlJc w:val="left"/>
        <w:rPr>
          <w:rFonts w:ascii="Verdana" w:hAnsi="Verdana" w:hint="default"/>
        </w:rPr>
      </w:lvl>
    </w:lvlOverride>
  </w:num>
  <w:num w:numId="2">
    <w:abstractNumId w:val="0"/>
    <w:lvlOverride w:ilvl="0">
      <w:lvl w:ilvl="0">
        <w:start w:val="65535"/>
        <w:numFmt w:val="bullet"/>
        <w:lvlText w:val="•"/>
        <w:legacy w:legacy="1" w:legacySpace="0" w:legacyIndent="331"/>
        <w:lvlJc w:val="left"/>
        <w:rPr>
          <w:rFonts w:ascii="Verdana" w:hAnsi="Verdana" w:hint="default"/>
        </w:rPr>
      </w:lvl>
    </w:lvlOverride>
  </w:num>
  <w:num w:numId="3">
    <w:abstractNumId w:val="0"/>
    <w:lvlOverride w:ilvl="0">
      <w:lvl w:ilvl="0">
        <w:start w:val="65535"/>
        <w:numFmt w:val="bullet"/>
        <w:lvlText w:val="-"/>
        <w:legacy w:legacy="1" w:legacySpace="0" w:legacyIndent="201"/>
        <w:lvlJc w:val="left"/>
        <w:rPr>
          <w:rFonts w:ascii="Verdana" w:hAnsi="Verdana"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C3519"/>
    <w:rsid w:val="00014770"/>
    <w:rsid w:val="000358B0"/>
    <w:rsid w:val="0006417B"/>
    <w:rsid w:val="00140C3F"/>
    <w:rsid w:val="001B1EEC"/>
    <w:rsid w:val="001D2919"/>
    <w:rsid w:val="00213F8F"/>
    <w:rsid w:val="00286F1C"/>
    <w:rsid w:val="002A1781"/>
    <w:rsid w:val="00307D9E"/>
    <w:rsid w:val="003A6C08"/>
    <w:rsid w:val="005051D8"/>
    <w:rsid w:val="00520AD7"/>
    <w:rsid w:val="005C175A"/>
    <w:rsid w:val="005E42BE"/>
    <w:rsid w:val="00625A59"/>
    <w:rsid w:val="006828C5"/>
    <w:rsid w:val="006D0181"/>
    <w:rsid w:val="006D77A7"/>
    <w:rsid w:val="0070763D"/>
    <w:rsid w:val="00781381"/>
    <w:rsid w:val="007874F8"/>
    <w:rsid w:val="007D47BE"/>
    <w:rsid w:val="00807EFB"/>
    <w:rsid w:val="00822784"/>
    <w:rsid w:val="008359C1"/>
    <w:rsid w:val="00840C34"/>
    <w:rsid w:val="008772B2"/>
    <w:rsid w:val="009A5468"/>
    <w:rsid w:val="00B45233"/>
    <w:rsid w:val="00BC3519"/>
    <w:rsid w:val="00BE3B88"/>
    <w:rsid w:val="00C42823"/>
    <w:rsid w:val="00C671FA"/>
    <w:rsid w:val="00C92AC6"/>
    <w:rsid w:val="00CB284A"/>
    <w:rsid w:val="00CB706F"/>
    <w:rsid w:val="00D0433E"/>
    <w:rsid w:val="00DB79DA"/>
    <w:rsid w:val="00DE30F9"/>
    <w:rsid w:val="00E56161"/>
    <w:rsid w:val="00FD308B"/>
    <w:rsid w:val="00FF74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CB28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B284A"/>
  </w:style>
  <w:style w:type="paragraph" w:styleId="Altbilgi">
    <w:name w:val="footer"/>
    <w:basedOn w:val="Normal"/>
    <w:link w:val="AltbilgiChar"/>
    <w:uiPriority w:val="99"/>
    <w:unhideWhenUsed/>
    <w:rsid w:val="00CB28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28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9</Pages>
  <Words>2895</Words>
  <Characters>16503</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19360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osemiz</dc:creator>
  <cp:keywords/>
  <dc:description/>
  <cp:lastModifiedBy>esecgel</cp:lastModifiedBy>
  <cp:revision>21</cp:revision>
  <cp:lastPrinted>2014-08-22T13:09:00Z</cp:lastPrinted>
  <dcterms:created xsi:type="dcterms:W3CDTF">2011-02-23T09:28:00Z</dcterms:created>
  <dcterms:modified xsi:type="dcterms:W3CDTF">2014-08-22T13:24:00Z</dcterms:modified>
</cp:coreProperties>
</file>