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47" w:rsidRPr="00A93562" w:rsidRDefault="00D30447" w:rsidP="00D304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>KISA ÜRÜN BİLGİSİ</w:t>
      </w:r>
    </w:p>
    <w:p w:rsidR="00F20176" w:rsidRPr="00A93562" w:rsidRDefault="00F20176" w:rsidP="00D304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9356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BEŞERİ TIBBİ </w:t>
      </w:r>
      <w:r w:rsidRPr="00A93562">
        <w:rPr>
          <w:rFonts w:ascii="Times New Roman" w:hAnsi="Times New Roman" w:cs="Times New Roman"/>
          <w:b/>
          <w:sz w:val="24"/>
          <w:szCs w:val="24"/>
        </w:rPr>
        <w:t xml:space="preserve">ÜRÜNÜN </w:t>
      </w:r>
      <w:r w:rsidRPr="00A93562">
        <w:rPr>
          <w:rFonts w:ascii="Times New Roman" w:hAnsi="Times New Roman" w:cs="Times New Roman"/>
          <w:b/>
          <w:bCs/>
          <w:sz w:val="24"/>
          <w:szCs w:val="24"/>
        </w:rPr>
        <w:t>ADI</w:t>
      </w:r>
    </w:p>
    <w:p w:rsidR="00D30447" w:rsidRPr="00A93562" w:rsidRDefault="00971288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>DEVASİD</w:t>
      </w:r>
      <w:r w:rsidR="00545FF8"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215E" w:rsidRPr="00A93562">
        <w:rPr>
          <w:rFonts w:ascii="Times New Roman" w:hAnsi="Times New Roman" w:cs="Times New Roman"/>
          <w:sz w:val="24"/>
          <w:szCs w:val="24"/>
        </w:rPr>
        <w:t>1</w:t>
      </w:r>
      <w:r w:rsidR="00405B6B" w:rsidRPr="00A93562">
        <w:rPr>
          <w:rFonts w:ascii="Times New Roman" w:hAnsi="Times New Roman" w:cs="Times New Roman"/>
          <w:sz w:val="24"/>
          <w:szCs w:val="24"/>
        </w:rPr>
        <w:t>.0</w:t>
      </w:r>
      <w:proofErr w:type="gramEnd"/>
      <w:r w:rsidR="00405B6B" w:rsidRPr="00A93562">
        <w:rPr>
          <w:rFonts w:ascii="Times New Roman" w:hAnsi="Times New Roman" w:cs="Times New Roman"/>
          <w:sz w:val="24"/>
          <w:szCs w:val="24"/>
        </w:rPr>
        <w:t xml:space="preserve"> </w:t>
      </w:r>
      <w:r w:rsidR="00D30447" w:rsidRPr="00A93562">
        <w:rPr>
          <w:rFonts w:ascii="Times New Roman" w:hAnsi="Times New Roman" w:cs="Times New Roman"/>
          <w:sz w:val="24"/>
          <w:szCs w:val="24"/>
        </w:rPr>
        <w:t xml:space="preserve">g </w:t>
      </w:r>
      <w:r w:rsidR="00297DEB" w:rsidRPr="00A93562">
        <w:rPr>
          <w:rFonts w:ascii="Times New Roman" w:hAnsi="Times New Roman" w:cs="Times New Roman"/>
          <w:sz w:val="24"/>
          <w:szCs w:val="24"/>
        </w:rPr>
        <w:t>İ.M</w:t>
      </w:r>
      <w:r w:rsidR="00D30447"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enjektabl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toz içeren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flakon</w:t>
      </w:r>
      <w:proofErr w:type="spellEnd"/>
    </w:p>
    <w:p w:rsidR="00545FF8" w:rsidRPr="00A93562" w:rsidRDefault="00545FF8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93562">
        <w:rPr>
          <w:rFonts w:ascii="Times New Roman" w:hAnsi="Times New Roman" w:cs="Times New Roman"/>
          <w:b/>
          <w:bCs/>
          <w:sz w:val="24"/>
          <w:szCs w:val="24"/>
        </w:rPr>
        <w:tab/>
        <w:t>KALİTATİF VE KANTİTATİF BİLEŞİM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>Etkin madde:</w:t>
      </w:r>
      <w:r w:rsidRPr="00A9356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9356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9356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9356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9356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86A6B" w:rsidRPr="00A93562" w:rsidRDefault="00986A6B" w:rsidP="00986A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 xml:space="preserve">Her bir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flakon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>;</w:t>
      </w:r>
    </w:p>
    <w:p w:rsidR="00986A6B" w:rsidRPr="00A93562" w:rsidRDefault="00986A6B" w:rsidP="00986A6B">
      <w:pPr>
        <w:tabs>
          <w:tab w:val="right" w:pos="396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A93562">
        <w:rPr>
          <w:rFonts w:ascii="Times New Roman" w:hAnsi="Times New Roman" w:cs="Times New Roman"/>
          <w:sz w:val="24"/>
          <w:szCs w:val="24"/>
          <w:u w:val="dotted"/>
        </w:rPr>
        <w:tab/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500.0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 xml:space="preserve"> mg**</w:t>
      </w:r>
    </w:p>
    <w:p w:rsidR="00986A6B" w:rsidRPr="00A93562" w:rsidRDefault="00986A6B" w:rsidP="00986A6B">
      <w:pPr>
        <w:tabs>
          <w:tab w:val="right" w:pos="396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A93562">
        <w:rPr>
          <w:rFonts w:ascii="Times New Roman" w:hAnsi="Times New Roman" w:cs="Times New Roman"/>
          <w:sz w:val="24"/>
          <w:szCs w:val="24"/>
          <w:u w:val="dotted"/>
        </w:rPr>
        <w:tab/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1000.0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 xml:space="preserve"> mg**</w:t>
      </w:r>
    </w:p>
    <w:p w:rsidR="00986A6B" w:rsidRPr="00A93562" w:rsidRDefault="00986A6B" w:rsidP="00986A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Sulbaktam’a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eşdeğer miktarda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sodyum kullanılır.</w:t>
      </w:r>
    </w:p>
    <w:p w:rsidR="00986A6B" w:rsidRPr="00A93562" w:rsidRDefault="00986A6B" w:rsidP="00986A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>**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Ampisilin’e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eşdeğer miktarda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sodyum kullanılır.</w:t>
      </w:r>
    </w:p>
    <w:p w:rsidR="00CC68EC" w:rsidRPr="00A93562" w:rsidRDefault="00CC68EC" w:rsidP="00CC68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>Her bir çözücü ampul %</w:t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0.5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lidokain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hidroklorür’e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eşdeğer miktarda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lidokain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hidroklorür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monohidrat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içerir.</w:t>
      </w:r>
    </w:p>
    <w:p w:rsidR="00CC68EC" w:rsidRPr="00A93562" w:rsidRDefault="00CC68EC" w:rsidP="00986A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447" w:rsidRPr="00A93562" w:rsidRDefault="00D30447" w:rsidP="00297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>Yardımcı maddeler: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 xml:space="preserve">Yardımcı maddeler için </w:t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6.1'e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 xml:space="preserve"> bakınız.</w:t>
      </w:r>
    </w:p>
    <w:p w:rsidR="00D44CF3" w:rsidRPr="00A93562" w:rsidRDefault="00D44CF3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0447" w:rsidRPr="00A93562" w:rsidRDefault="00D30447" w:rsidP="0097128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93562">
        <w:rPr>
          <w:rFonts w:ascii="Times New Roman" w:hAnsi="Times New Roman" w:cs="Times New Roman"/>
          <w:b/>
          <w:bCs/>
          <w:sz w:val="24"/>
          <w:szCs w:val="24"/>
        </w:rPr>
        <w:tab/>
        <w:t>FARMASÖTİK FORM</w:t>
      </w:r>
    </w:p>
    <w:p w:rsidR="004D0DC1" w:rsidRPr="00A93562" w:rsidRDefault="004D0DC1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 xml:space="preserve">Beyaz veya beyazımsı renkte akıcı toz 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562">
        <w:rPr>
          <w:rFonts w:ascii="Times New Roman" w:hAnsi="Times New Roman" w:cs="Times New Roman"/>
          <w:sz w:val="24"/>
          <w:szCs w:val="24"/>
        </w:rPr>
        <w:t>Enjektabl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toz içeren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flakon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ve çözücü sıvı.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447" w:rsidRPr="00A93562" w:rsidRDefault="00D30447" w:rsidP="0097128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93562">
        <w:rPr>
          <w:rFonts w:ascii="Times New Roman" w:hAnsi="Times New Roman" w:cs="Times New Roman"/>
          <w:b/>
          <w:bCs/>
          <w:sz w:val="24"/>
          <w:szCs w:val="24"/>
        </w:rPr>
        <w:tab/>
        <w:t>KLİNİK ÖZELLİKLER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>4.1.</w:t>
      </w:r>
      <w:proofErr w:type="spellStart"/>
      <w:r w:rsidRPr="00A93562">
        <w:rPr>
          <w:rFonts w:ascii="Times New Roman" w:hAnsi="Times New Roman" w:cs="Times New Roman"/>
          <w:b/>
          <w:bCs/>
          <w:sz w:val="24"/>
          <w:szCs w:val="24"/>
        </w:rPr>
        <w:t>Terapötik</w:t>
      </w:r>
      <w:proofErr w:type="spellEnd"/>
      <w:r w:rsidRPr="00A935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b/>
          <w:bCs/>
          <w:sz w:val="24"/>
          <w:szCs w:val="24"/>
        </w:rPr>
        <w:t>endikasyonlar</w:t>
      </w:r>
      <w:proofErr w:type="spellEnd"/>
    </w:p>
    <w:p w:rsidR="00D30447" w:rsidRPr="00A93562" w:rsidRDefault="00971288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>DEVASİD</w:t>
      </w:r>
      <w:r w:rsidR="00D30447" w:rsidRPr="00A93562">
        <w:rPr>
          <w:rFonts w:ascii="Times New Roman" w:hAnsi="Times New Roman" w:cs="Times New Roman"/>
          <w:sz w:val="24"/>
          <w:szCs w:val="24"/>
        </w:rPr>
        <w:t xml:space="preserve"> duyarlı mikroorganizma</w:t>
      </w:r>
      <w:r w:rsidRPr="00A93562">
        <w:rPr>
          <w:rFonts w:ascii="Times New Roman" w:hAnsi="Times New Roman" w:cs="Times New Roman"/>
          <w:sz w:val="24"/>
          <w:szCs w:val="24"/>
        </w:rPr>
        <w:t>ların</w:t>
      </w:r>
      <w:r w:rsidR="00D30447" w:rsidRPr="00A93562">
        <w:rPr>
          <w:rFonts w:ascii="Times New Roman" w:hAnsi="Times New Roman" w:cs="Times New Roman"/>
          <w:sz w:val="24"/>
          <w:szCs w:val="24"/>
        </w:rPr>
        <w:t xml:space="preserve"> neden olduğu </w:t>
      </w:r>
      <w:proofErr w:type="gramStart"/>
      <w:r w:rsidR="00D30447" w:rsidRPr="00A93562">
        <w:rPr>
          <w:rFonts w:ascii="Times New Roman" w:hAnsi="Times New Roman" w:cs="Times New Roman"/>
          <w:sz w:val="24"/>
          <w:szCs w:val="24"/>
        </w:rPr>
        <w:t>enfeksiyonlarda</w:t>
      </w:r>
      <w:proofErr w:type="gram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endikedir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. Tipik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endikasyonları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aras</w:t>
      </w:r>
      <w:r w:rsidRPr="00A93562">
        <w:rPr>
          <w:rFonts w:ascii="Times New Roman" w:hAnsi="Times New Roman" w:cs="Times New Roman"/>
          <w:sz w:val="24"/>
          <w:szCs w:val="24"/>
        </w:rPr>
        <w:t>ın</w:t>
      </w:r>
      <w:r w:rsidR="00D30447" w:rsidRPr="00A93562">
        <w:rPr>
          <w:rFonts w:ascii="Times New Roman" w:hAnsi="Times New Roman" w:cs="Times New Roman"/>
          <w:sz w:val="24"/>
          <w:szCs w:val="24"/>
        </w:rPr>
        <w:t xml:space="preserve">da sinüzit,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otitis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epiglottit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, bakteriyel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pnömoniler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0447" w:rsidRPr="00A9356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üst ve alt solunum yolu enfeksiyonları; idrar yolu enfeksiyonları ve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piyelonefrit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; peritonit,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kolesistit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endometrit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pelvik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selülit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dahil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intraabdominal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enfeksiyonlar; bakteriyel septisemi; deri, yumuşak doku, kemik ve eklem enfeksiyonları ve gonokok enfeksiyonları bulunur.</w:t>
      </w:r>
    </w:p>
    <w:p w:rsidR="00D30447" w:rsidRPr="00A93562" w:rsidRDefault="00971288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>DEVASİD</w:t>
      </w:r>
      <w:r w:rsidR="00D30447"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abdominal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pelvik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cerrahi müdahale yapılan ve periton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kontaminasyonu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ihtimali olan hastalarda post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operatif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yara </w:t>
      </w:r>
      <w:proofErr w:type="gramStart"/>
      <w:r w:rsidR="00D30447" w:rsidRPr="00A93562">
        <w:rPr>
          <w:rFonts w:ascii="Times New Roman" w:hAnsi="Times New Roman" w:cs="Times New Roman"/>
          <w:sz w:val="24"/>
          <w:szCs w:val="24"/>
        </w:rPr>
        <w:t>enfeksiyon</w:t>
      </w:r>
      <w:proofErr w:type="gram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insidansını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azaltmak üzere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perioperatif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olarak da kullanılabilir. Post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operatif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sepsisi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azaltmak amacıyla, gebeliğin sonlandırılması veya sezaryen ameliyatı sonrası </w:t>
      </w:r>
      <w:r w:rsidRPr="00A93562">
        <w:rPr>
          <w:rFonts w:ascii="Times New Roman" w:hAnsi="Times New Roman" w:cs="Times New Roman"/>
          <w:sz w:val="24"/>
          <w:szCs w:val="24"/>
        </w:rPr>
        <w:t>DEVASİD</w:t>
      </w:r>
      <w:r w:rsidR="00D30447"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proflaktik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olarak kullanılabilir.</w:t>
      </w:r>
    </w:p>
    <w:p w:rsidR="00D64106" w:rsidRPr="00A93562" w:rsidRDefault="00D64106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lastRenderedPageBreak/>
        <w:t>4.2.</w:t>
      </w:r>
      <w:proofErr w:type="spellStart"/>
      <w:r w:rsidRPr="00A93562">
        <w:rPr>
          <w:rFonts w:ascii="Times New Roman" w:hAnsi="Times New Roman" w:cs="Times New Roman"/>
          <w:b/>
          <w:bCs/>
          <w:sz w:val="24"/>
          <w:szCs w:val="24"/>
        </w:rPr>
        <w:t>Pozoloji</w:t>
      </w:r>
      <w:proofErr w:type="spellEnd"/>
      <w:r w:rsidRPr="00A93562">
        <w:rPr>
          <w:rFonts w:ascii="Times New Roman" w:hAnsi="Times New Roman" w:cs="Times New Roman"/>
          <w:b/>
          <w:bCs/>
          <w:sz w:val="24"/>
          <w:szCs w:val="24"/>
        </w:rPr>
        <w:t xml:space="preserve"> ve uygulama şekli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562">
        <w:rPr>
          <w:rFonts w:ascii="Times New Roman" w:hAnsi="Times New Roman" w:cs="Times New Roman"/>
          <w:b/>
          <w:bCs/>
          <w:sz w:val="24"/>
          <w:szCs w:val="24"/>
        </w:rPr>
        <w:t>Pozoloji</w:t>
      </w:r>
      <w:proofErr w:type="spellEnd"/>
      <w:r w:rsidRPr="00A93562">
        <w:rPr>
          <w:rFonts w:ascii="Times New Roman" w:hAnsi="Times New Roman" w:cs="Times New Roman"/>
          <w:b/>
          <w:bCs/>
          <w:sz w:val="24"/>
          <w:szCs w:val="24"/>
        </w:rPr>
        <w:t>/ uygulama sıklığı ve süresi:</w:t>
      </w:r>
    </w:p>
    <w:p w:rsidR="00D30447" w:rsidRPr="00A93562" w:rsidRDefault="00971288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>DEVASİD</w:t>
      </w:r>
      <w:r w:rsidR="00D30447"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intramusküler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uygulama için aşağıdaki miktarlarda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lidokain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hidroklorür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ile eritilebilir. </w:t>
      </w: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864"/>
        <w:gridCol w:w="619"/>
        <w:gridCol w:w="1402"/>
        <w:gridCol w:w="1368"/>
        <w:gridCol w:w="427"/>
        <w:gridCol w:w="1699"/>
      </w:tblGrid>
      <w:tr w:rsidR="00D30447" w:rsidRPr="00A93562" w:rsidTr="00D30447">
        <w:trPr>
          <w:trHeight w:hRule="exact" w:val="61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47" w:rsidRPr="00A93562" w:rsidRDefault="00D30447" w:rsidP="00D30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Ampisilin</w:t>
            </w:r>
            <w:proofErr w:type="spellEnd"/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Sulbaktam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47" w:rsidRPr="00A93562" w:rsidRDefault="00D30447" w:rsidP="00D30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47" w:rsidRPr="00A93562" w:rsidRDefault="00D30447" w:rsidP="00D30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doz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47" w:rsidRPr="00A93562" w:rsidRDefault="00D30447" w:rsidP="00D30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Ambalaj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47" w:rsidRPr="00A93562" w:rsidRDefault="00D30447" w:rsidP="00D30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Lidokain</w:t>
            </w:r>
            <w:proofErr w:type="spellEnd"/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47" w:rsidRPr="00A93562" w:rsidRDefault="00D30447" w:rsidP="00D30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Maksimum son</w:t>
            </w:r>
          </w:p>
        </w:tc>
      </w:tr>
      <w:tr w:rsidR="00D30447" w:rsidRPr="00A93562" w:rsidTr="00D30447">
        <w:trPr>
          <w:trHeight w:hRule="exact" w:val="26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Eşdeğer Dozlar (mg)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(mg)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flakon</w:t>
            </w:r>
            <w:proofErr w:type="spellEnd"/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58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mikt</w:t>
            </w:r>
            <w:r w:rsidR="00584034" w:rsidRPr="00A93562">
              <w:rPr>
                <w:rFonts w:ascii="Times New Roman" w:hAnsi="Times New Roman" w:cs="Times New Roman"/>
                <w:sz w:val="24"/>
                <w:szCs w:val="24"/>
              </w:rPr>
              <w:t>arı</w:t>
            </w:r>
            <w:proofErr w:type="gramEnd"/>
            <w:r w:rsidRPr="00A93562">
              <w:rPr>
                <w:rFonts w:ascii="Times New Roman" w:hAnsi="Times New Roman" w:cs="Times New Roman"/>
                <w:sz w:val="24"/>
                <w:szCs w:val="24"/>
              </w:rPr>
              <w:t xml:space="preserve"> (ml)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konsantrasyon</w:t>
            </w:r>
            <w:proofErr w:type="gramEnd"/>
          </w:p>
        </w:tc>
      </w:tr>
      <w:tr w:rsidR="00D30447" w:rsidRPr="00A93562" w:rsidTr="00D30447">
        <w:trPr>
          <w:trHeight w:hRule="exact" w:val="25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(mg/ml)</w:t>
            </w:r>
          </w:p>
        </w:tc>
      </w:tr>
      <w:tr w:rsidR="00D30447" w:rsidRPr="00A93562" w:rsidTr="00D30447">
        <w:trPr>
          <w:trHeight w:hRule="exact" w:val="25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250 +125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10 ml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250 + 125</w:t>
            </w:r>
          </w:p>
        </w:tc>
      </w:tr>
      <w:tr w:rsidR="00D30447" w:rsidRPr="00A93562" w:rsidTr="00D30447">
        <w:trPr>
          <w:trHeight w:hRule="exact" w:val="25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500 + 250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10 ml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250 + 125</w:t>
            </w:r>
          </w:p>
        </w:tc>
      </w:tr>
      <w:tr w:rsidR="00D30447" w:rsidRPr="00A93562" w:rsidTr="00D30447">
        <w:trPr>
          <w:trHeight w:hRule="exact" w:val="25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1000 + 500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20 ml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250 + 125</w:t>
            </w:r>
          </w:p>
        </w:tc>
      </w:tr>
      <w:tr w:rsidR="00D30447" w:rsidRPr="00A93562" w:rsidTr="00D30447">
        <w:trPr>
          <w:trHeight w:hRule="exact" w:val="2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2000+1000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20 ml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250 +125</w:t>
            </w:r>
          </w:p>
        </w:tc>
      </w:tr>
    </w:tbl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>Doktor tarafından başka şekilde tavsiye edilmediği takdirde: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 xml:space="preserve">Böbrek fonksiyonu normal erişkinlerde </w:t>
      </w:r>
      <w:proofErr w:type="spellStart"/>
      <w:r w:rsidR="00971288" w:rsidRPr="00A93562">
        <w:rPr>
          <w:rFonts w:ascii="Times New Roman" w:hAnsi="Times New Roman" w:cs="Times New Roman"/>
          <w:sz w:val="24"/>
          <w:szCs w:val="24"/>
        </w:rPr>
        <w:t>DEVASİD</w:t>
      </w:r>
      <w:r w:rsidRPr="00A93562">
        <w:rPr>
          <w:rFonts w:ascii="Times New Roman" w:hAnsi="Times New Roman" w:cs="Times New Roman"/>
          <w:sz w:val="24"/>
          <w:szCs w:val="24"/>
        </w:rPr>
        <w:t>'in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mutad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günlük doz </w:t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aralığı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 xml:space="preserve"> 1.5 g. (1000 mg.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+ 500 mg.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sulbaktam'a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tekabül eden </w:t>
      </w:r>
      <w:r w:rsidR="009967F8" w:rsidRPr="00A93562">
        <w:rPr>
          <w:rFonts w:ascii="Times New Roman" w:hAnsi="Times New Roman" w:cs="Times New Roman"/>
          <w:sz w:val="24"/>
          <w:szCs w:val="24"/>
        </w:rPr>
        <w:t>1</w:t>
      </w:r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flakon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r w:rsidR="00971288" w:rsidRPr="00A93562">
        <w:rPr>
          <w:rFonts w:ascii="Times New Roman" w:hAnsi="Times New Roman" w:cs="Times New Roman"/>
          <w:sz w:val="24"/>
          <w:szCs w:val="24"/>
        </w:rPr>
        <w:t>DEVASİD</w:t>
      </w:r>
      <w:r w:rsidR="00545FF8" w:rsidRPr="00A93562">
        <w:rPr>
          <w:rFonts w:ascii="Times New Roman" w:hAnsi="Times New Roman" w:cs="Times New Roman"/>
          <w:sz w:val="24"/>
          <w:szCs w:val="24"/>
        </w:rPr>
        <w:t xml:space="preserve"> </w:t>
      </w:r>
      <w:r w:rsidR="009967F8" w:rsidRPr="00A93562">
        <w:rPr>
          <w:rFonts w:ascii="Times New Roman" w:hAnsi="Times New Roman" w:cs="Times New Roman"/>
          <w:sz w:val="24"/>
          <w:szCs w:val="24"/>
        </w:rPr>
        <w:t>1</w:t>
      </w:r>
      <w:r w:rsidRPr="00A93562">
        <w:rPr>
          <w:rFonts w:ascii="Times New Roman" w:hAnsi="Times New Roman" w:cs="Times New Roman"/>
          <w:sz w:val="24"/>
          <w:szCs w:val="24"/>
        </w:rPr>
        <w:t xml:space="preserve"> g.) ila 12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g'dır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(8000 mg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+ 4000 mg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sulbaktam'a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tekabül eden </w:t>
      </w:r>
      <w:r w:rsidR="009967F8" w:rsidRPr="00A93562">
        <w:rPr>
          <w:rFonts w:ascii="Times New Roman" w:hAnsi="Times New Roman" w:cs="Times New Roman"/>
          <w:sz w:val="24"/>
          <w:szCs w:val="24"/>
        </w:rPr>
        <w:t>8</w:t>
      </w:r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flakon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r w:rsidR="00971288" w:rsidRPr="00A93562">
        <w:rPr>
          <w:rFonts w:ascii="Times New Roman" w:hAnsi="Times New Roman" w:cs="Times New Roman"/>
          <w:sz w:val="24"/>
          <w:szCs w:val="24"/>
        </w:rPr>
        <w:t>DEVASİD</w:t>
      </w:r>
      <w:r w:rsidR="00545FF8" w:rsidRPr="00A93562">
        <w:rPr>
          <w:rFonts w:ascii="Times New Roman" w:hAnsi="Times New Roman" w:cs="Times New Roman"/>
          <w:sz w:val="24"/>
          <w:szCs w:val="24"/>
        </w:rPr>
        <w:t xml:space="preserve"> </w:t>
      </w:r>
      <w:r w:rsidR="009967F8" w:rsidRPr="00A93562">
        <w:rPr>
          <w:rFonts w:ascii="Times New Roman" w:hAnsi="Times New Roman" w:cs="Times New Roman"/>
          <w:sz w:val="24"/>
          <w:szCs w:val="24"/>
        </w:rPr>
        <w:t>1</w:t>
      </w:r>
      <w:r w:rsidRPr="00A93562">
        <w:rPr>
          <w:rFonts w:ascii="Times New Roman" w:hAnsi="Times New Roman" w:cs="Times New Roman"/>
          <w:sz w:val="24"/>
          <w:szCs w:val="24"/>
        </w:rPr>
        <w:t xml:space="preserve"> g.)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Sulbaktam'ın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günlük maksimum dozu 4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g'dır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. Günlük </w:t>
      </w:r>
      <w:r w:rsidR="00971288" w:rsidRPr="00A93562">
        <w:rPr>
          <w:rFonts w:ascii="Times New Roman" w:hAnsi="Times New Roman" w:cs="Times New Roman"/>
          <w:sz w:val="24"/>
          <w:szCs w:val="24"/>
        </w:rPr>
        <w:t>DEVASİD</w:t>
      </w:r>
      <w:r w:rsidRPr="00A93562">
        <w:rPr>
          <w:rFonts w:ascii="Times New Roman" w:hAnsi="Times New Roman" w:cs="Times New Roman"/>
          <w:sz w:val="24"/>
          <w:szCs w:val="24"/>
        </w:rPr>
        <w:t xml:space="preserve"> dozla</w:t>
      </w:r>
      <w:r w:rsidR="00971288" w:rsidRPr="00A93562">
        <w:rPr>
          <w:rFonts w:ascii="Times New Roman" w:hAnsi="Times New Roman" w:cs="Times New Roman"/>
          <w:sz w:val="24"/>
          <w:szCs w:val="24"/>
        </w:rPr>
        <w:t>rı</w:t>
      </w:r>
      <w:r w:rsidRPr="00A93562">
        <w:rPr>
          <w:rFonts w:ascii="Times New Roman" w:hAnsi="Times New Roman" w:cs="Times New Roman"/>
          <w:sz w:val="24"/>
          <w:szCs w:val="24"/>
        </w:rPr>
        <w:t xml:space="preserve"> genellikle 6-8 saatlik aralara bölünerek verilir. Şiddetli olmayan </w:t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enfeksiyonlar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 xml:space="preserve"> 12 saatte bir uygulama ile tedavi edilebilir.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>Enfeksiyonun Şiddeti</w:t>
      </w:r>
      <w:r w:rsidRPr="00A93562">
        <w:rPr>
          <w:rFonts w:ascii="Times New Roman" w:hAnsi="Times New Roman" w:cs="Times New Roman"/>
          <w:sz w:val="24"/>
          <w:szCs w:val="24"/>
        </w:rPr>
        <w:tab/>
      </w:r>
      <w:r w:rsidRPr="00A93562">
        <w:rPr>
          <w:rFonts w:ascii="Times New Roman" w:hAnsi="Times New Roman" w:cs="Times New Roman"/>
          <w:sz w:val="24"/>
          <w:szCs w:val="24"/>
        </w:rPr>
        <w:tab/>
      </w:r>
      <w:r w:rsidRPr="00A93562">
        <w:rPr>
          <w:rFonts w:ascii="Times New Roman" w:hAnsi="Times New Roman" w:cs="Times New Roman"/>
          <w:sz w:val="24"/>
          <w:szCs w:val="24"/>
        </w:rPr>
        <w:tab/>
        <w:t xml:space="preserve">Günlük </w:t>
      </w:r>
      <w:r w:rsidR="00971288" w:rsidRPr="00A93562">
        <w:rPr>
          <w:rFonts w:ascii="Times New Roman" w:hAnsi="Times New Roman" w:cs="Times New Roman"/>
          <w:sz w:val="24"/>
          <w:szCs w:val="24"/>
        </w:rPr>
        <w:t>DEVASİD</w:t>
      </w:r>
      <w:r w:rsidRPr="00A93562">
        <w:rPr>
          <w:rFonts w:ascii="Times New Roman" w:hAnsi="Times New Roman" w:cs="Times New Roman"/>
          <w:sz w:val="24"/>
          <w:szCs w:val="24"/>
        </w:rPr>
        <w:t xml:space="preserve"> dozu (g)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>Hafif</w:t>
      </w:r>
      <w:r w:rsidRPr="00A93562">
        <w:rPr>
          <w:rFonts w:ascii="Times New Roman" w:hAnsi="Times New Roman" w:cs="Times New Roman"/>
          <w:sz w:val="24"/>
          <w:szCs w:val="24"/>
        </w:rPr>
        <w:tab/>
      </w:r>
      <w:r w:rsidRPr="00A93562">
        <w:rPr>
          <w:rFonts w:ascii="Times New Roman" w:hAnsi="Times New Roman" w:cs="Times New Roman"/>
          <w:sz w:val="24"/>
          <w:szCs w:val="24"/>
        </w:rPr>
        <w:tab/>
      </w:r>
      <w:r w:rsidRPr="00A93562">
        <w:rPr>
          <w:rFonts w:ascii="Times New Roman" w:hAnsi="Times New Roman" w:cs="Times New Roman"/>
          <w:sz w:val="24"/>
          <w:szCs w:val="24"/>
        </w:rPr>
        <w:tab/>
      </w:r>
      <w:r w:rsidRPr="00A93562">
        <w:rPr>
          <w:rFonts w:ascii="Times New Roman" w:hAnsi="Times New Roman" w:cs="Times New Roman"/>
          <w:sz w:val="24"/>
          <w:szCs w:val="24"/>
        </w:rPr>
        <w:tab/>
      </w:r>
      <w:r w:rsidRPr="00A9356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1.5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 xml:space="preserve"> - 3 g</w:t>
      </w:r>
      <w:r w:rsidR="00971288" w:rsidRPr="00A93562">
        <w:rPr>
          <w:rFonts w:ascii="Times New Roman" w:hAnsi="Times New Roman" w:cs="Times New Roman"/>
          <w:sz w:val="24"/>
          <w:szCs w:val="24"/>
        </w:rPr>
        <w:t xml:space="preserve">  </w:t>
      </w:r>
      <w:r w:rsidRPr="00A93562">
        <w:rPr>
          <w:rFonts w:ascii="Times New Roman" w:hAnsi="Times New Roman" w:cs="Times New Roman"/>
          <w:sz w:val="24"/>
          <w:szCs w:val="24"/>
        </w:rPr>
        <w:t xml:space="preserve">( 1-2 g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+ 0.5-1 g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>Orta</w:t>
      </w:r>
      <w:r w:rsidRPr="00A93562">
        <w:rPr>
          <w:rFonts w:ascii="Times New Roman" w:hAnsi="Times New Roman" w:cs="Times New Roman"/>
          <w:sz w:val="24"/>
          <w:szCs w:val="24"/>
        </w:rPr>
        <w:tab/>
      </w:r>
      <w:r w:rsidRPr="00A93562">
        <w:rPr>
          <w:rFonts w:ascii="Times New Roman" w:hAnsi="Times New Roman" w:cs="Times New Roman"/>
          <w:sz w:val="24"/>
          <w:szCs w:val="24"/>
        </w:rPr>
        <w:tab/>
      </w:r>
      <w:r w:rsidRPr="00A93562">
        <w:rPr>
          <w:rFonts w:ascii="Times New Roman" w:hAnsi="Times New Roman" w:cs="Times New Roman"/>
          <w:sz w:val="24"/>
          <w:szCs w:val="24"/>
        </w:rPr>
        <w:tab/>
      </w:r>
      <w:r w:rsidRPr="00A93562">
        <w:rPr>
          <w:rFonts w:ascii="Times New Roman" w:hAnsi="Times New Roman" w:cs="Times New Roman"/>
          <w:sz w:val="24"/>
          <w:szCs w:val="24"/>
        </w:rPr>
        <w:tab/>
      </w:r>
      <w:r w:rsidRPr="00A93562">
        <w:rPr>
          <w:rFonts w:ascii="Times New Roman" w:hAnsi="Times New Roman" w:cs="Times New Roman"/>
          <w:sz w:val="24"/>
          <w:szCs w:val="24"/>
        </w:rPr>
        <w:tab/>
        <w:t xml:space="preserve">6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g'a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kadar ( 4 g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+ 2 g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>)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>Şiddetli</w:t>
      </w:r>
      <w:r w:rsidRPr="00A93562">
        <w:rPr>
          <w:rFonts w:ascii="Times New Roman" w:hAnsi="Times New Roman" w:cs="Times New Roman"/>
          <w:sz w:val="24"/>
          <w:szCs w:val="24"/>
        </w:rPr>
        <w:tab/>
      </w:r>
      <w:r w:rsidRPr="00A93562">
        <w:rPr>
          <w:rFonts w:ascii="Times New Roman" w:hAnsi="Times New Roman" w:cs="Times New Roman"/>
          <w:sz w:val="24"/>
          <w:szCs w:val="24"/>
        </w:rPr>
        <w:tab/>
      </w:r>
      <w:r w:rsidRPr="00A93562">
        <w:rPr>
          <w:rFonts w:ascii="Times New Roman" w:hAnsi="Times New Roman" w:cs="Times New Roman"/>
          <w:sz w:val="24"/>
          <w:szCs w:val="24"/>
        </w:rPr>
        <w:tab/>
      </w:r>
      <w:r w:rsidRPr="00A93562">
        <w:rPr>
          <w:rFonts w:ascii="Times New Roman" w:hAnsi="Times New Roman" w:cs="Times New Roman"/>
          <w:sz w:val="24"/>
          <w:szCs w:val="24"/>
        </w:rPr>
        <w:tab/>
        <w:t xml:space="preserve">12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g'a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kadar ( 8 g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+ 4 g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>)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 xml:space="preserve">Dozların daha sık veya daha seyrek uygulanması hastalığın şiddetine ve hastanın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renal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fonksiyonlarına göre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endike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olabilir.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 xml:space="preserve">Tedavi, genellikle ateş düştükten 48 saat sonraya ve diğer anormal belirtiler kaybolana kadar devam ettirilir. Tedavi normal olarak 5-14 gün uygulanır. Hastalığın ciddi olduğu durumlarda tedavi süresi uzatılabilir veya ilave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uygulanabilir.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 xml:space="preserve">Ameliyat enfeksiyonları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proflaksisinde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, operasyon sırasında etkili serum ve doku konsantrasyonları sağlamaya yeterli zaman kalması için anestezi başlangıcında </w:t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1.5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 xml:space="preserve">-3 g. </w:t>
      </w:r>
      <w:r w:rsidR="00971288" w:rsidRPr="00A93562">
        <w:rPr>
          <w:rFonts w:ascii="Times New Roman" w:hAnsi="Times New Roman" w:cs="Times New Roman"/>
          <w:sz w:val="24"/>
          <w:szCs w:val="24"/>
        </w:rPr>
        <w:t>DEVASİD</w:t>
      </w:r>
      <w:r w:rsidR="00545FF8" w:rsidRPr="00A93562">
        <w:rPr>
          <w:rFonts w:ascii="Times New Roman" w:hAnsi="Times New Roman" w:cs="Times New Roman"/>
          <w:sz w:val="24"/>
          <w:szCs w:val="24"/>
        </w:rPr>
        <w:t xml:space="preserve"> (</w:t>
      </w:r>
      <w:r w:rsidR="009967F8" w:rsidRPr="00A93562">
        <w:rPr>
          <w:rFonts w:ascii="Times New Roman" w:hAnsi="Times New Roman" w:cs="Times New Roman"/>
          <w:sz w:val="24"/>
          <w:szCs w:val="24"/>
        </w:rPr>
        <w:t>1-2</w:t>
      </w:r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flakon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r w:rsidR="00971288" w:rsidRPr="00A93562">
        <w:rPr>
          <w:rFonts w:ascii="Times New Roman" w:hAnsi="Times New Roman" w:cs="Times New Roman"/>
          <w:sz w:val="24"/>
          <w:szCs w:val="24"/>
        </w:rPr>
        <w:t>DEVASİD</w:t>
      </w:r>
      <w:r w:rsidR="00545FF8" w:rsidRPr="00A93562">
        <w:rPr>
          <w:rFonts w:ascii="Times New Roman" w:hAnsi="Times New Roman" w:cs="Times New Roman"/>
          <w:sz w:val="24"/>
          <w:szCs w:val="24"/>
        </w:rPr>
        <w:t xml:space="preserve"> </w:t>
      </w:r>
      <w:r w:rsidR="009967F8" w:rsidRPr="00A93562">
        <w:rPr>
          <w:rFonts w:ascii="Times New Roman" w:hAnsi="Times New Roman" w:cs="Times New Roman"/>
          <w:sz w:val="24"/>
          <w:szCs w:val="24"/>
        </w:rPr>
        <w:t>1</w:t>
      </w:r>
      <w:r w:rsidRPr="00A93562">
        <w:rPr>
          <w:rFonts w:ascii="Times New Roman" w:hAnsi="Times New Roman" w:cs="Times New Roman"/>
          <w:sz w:val="24"/>
          <w:szCs w:val="24"/>
        </w:rPr>
        <w:t xml:space="preserve"> g.) verilir. Doz 6-8 saat ara ile tekrarlanabilir. Eğer </w:t>
      </w:r>
      <w:r w:rsidR="00971288" w:rsidRPr="00A93562">
        <w:rPr>
          <w:rFonts w:ascii="Times New Roman" w:hAnsi="Times New Roman" w:cs="Times New Roman"/>
          <w:sz w:val="24"/>
          <w:szCs w:val="24"/>
        </w:rPr>
        <w:t>DEVASİD</w:t>
      </w:r>
      <w:r w:rsidRPr="00A93562">
        <w:rPr>
          <w:rFonts w:ascii="Times New Roman" w:hAnsi="Times New Roman" w:cs="Times New Roman"/>
          <w:sz w:val="24"/>
          <w:szCs w:val="24"/>
        </w:rPr>
        <w:t xml:space="preserve"> ile bir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terapötik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kür gerekmiyorsa, ameliyat</w:t>
      </w:r>
      <w:r w:rsidR="00971288" w:rsidRPr="00A93562">
        <w:rPr>
          <w:rFonts w:ascii="Times New Roman" w:hAnsi="Times New Roman" w:cs="Times New Roman"/>
          <w:sz w:val="24"/>
          <w:szCs w:val="24"/>
        </w:rPr>
        <w:t>ların</w:t>
      </w:r>
      <w:r w:rsidRPr="00A93562">
        <w:rPr>
          <w:rFonts w:ascii="Times New Roman" w:hAnsi="Times New Roman" w:cs="Times New Roman"/>
          <w:sz w:val="24"/>
          <w:szCs w:val="24"/>
        </w:rPr>
        <w:t xml:space="preserve"> çoğunluğunda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proflaktik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uygulama 24 saat sonra durdurulur.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lastRenderedPageBreak/>
        <w:t xml:space="preserve">Komplike olmayan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gonore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tedavisinde </w:t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1.5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 xml:space="preserve"> g </w:t>
      </w:r>
      <w:r w:rsidR="00971288" w:rsidRPr="00A93562">
        <w:rPr>
          <w:rFonts w:ascii="Times New Roman" w:hAnsi="Times New Roman" w:cs="Times New Roman"/>
          <w:sz w:val="24"/>
          <w:szCs w:val="24"/>
        </w:rPr>
        <w:t>DEVASİD</w:t>
      </w:r>
      <w:r w:rsidRPr="00A93562">
        <w:rPr>
          <w:rFonts w:ascii="Times New Roman" w:hAnsi="Times New Roman" w:cs="Times New Roman"/>
          <w:sz w:val="24"/>
          <w:szCs w:val="24"/>
        </w:rPr>
        <w:t xml:space="preserve"> (</w:t>
      </w:r>
      <w:r w:rsidR="00971288" w:rsidRPr="00A93562">
        <w:rPr>
          <w:rFonts w:ascii="Times New Roman" w:hAnsi="Times New Roman" w:cs="Times New Roman"/>
          <w:sz w:val="24"/>
          <w:szCs w:val="24"/>
        </w:rPr>
        <w:t>DEVASİD</w:t>
      </w:r>
      <w:r w:rsidRPr="00A93562">
        <w:rPr>
          <w:rFonts w:ascii="Times New Roman" w:hAnsi="Times New Roman" w:cs="Times New Roman"/>
          <w:sz w:val="24"/>
          <w:szCs w:val="24"/>
        </w:rPr>
        <w:t xml:space="preserve"> 1 g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flakon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) tek doz olarak verilebilir.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plazma </w:t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konsantrasyonlarını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 xml:space="preserve"> uzatmak amacıyla beraberinde 1 g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probenesid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oral olarak verilmelidir.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>Uygulama şekli:</w:t>
      </w:r>
    </w:p>
    <w:p w:rsidR="00D30447" w:rsidRPr="00A93562" w:rsidRDefault="00971288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>DEVASİD</w:t>
      </w:r>
      <w:r w:rsidR="00D30447" w:rsidRPr="00A93562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lidokain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hidroklorür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eriyiği derin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intramusküler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0447" w:rsidRPr="00A93562">
        <w:rPr>
          <w:rFonts w:ascii="Times New Roman" w:hAnsi="Times New Roman" w:cs="Times New Roman"/>
          <w:sz w:val="24"/>
          <w:szCs w:val="24"/>
        </w:rPr>
        <w:t>enjeksiyon</w:t>
      </w:r>
      <w:proofErr w:type="gram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olarak uygulanır.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Lidokain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eriyiği asla I.V. uygulanmamalıdır.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 xml:space="preserve">Özel </w:t>
      </w:r>
      <w:proofErr w:type="gramStart"/>
      <w:r w:rsidRPr="00A93562">
        <w:rPr>
          <w:rFonts w:ascii="Times New Roman" w:hAnsi="Times New Roman" w:cs="Times New Roman"/>
          <w:b/>
          <w:bCs/>
          <w:sz w:val="24"/>
          <w:szCs w:val="24"/>
        </w:rPr>
        <w:t>popülasyonlara</w:t>
      </w:r>
      <w:proofErr w:type="gramEnd"/>
      <w:r w:rsidRPr="00A93562">
        <w:rPr>
          <w:rFonts w:ascii="Times New Roman" w:hAnsi="Times New Roman" w:cs="Times New Roman"/>
          <w:b/>
          <w:bCs/>
          <w:sz w:val="24"/>
          <w:szCs w:val="24"/>
        </w:rPr>
        <w:t xml:space="preserve"> ilişkin ek bilgiler: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>Böbrek / Karaciğer yetmezliği: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 xml:space="preserve">Ciddi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renal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fonksiyon bozukluğu olan hastalarda, (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kreatinin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klerensi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&lt;30 ml/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dak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eliminasyon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 xml:space="preserve"> kinetiği birbirine benzer şekilde etkilenmekte ve birinin ötekine plazma oranı değişmeden kalmaktadır.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>Böbrek Fonksiyon Bozukluğu</w:t>
      </w:r>
      <w:r w:rsidR="00545FF8" w:rsidRPr="00A93562">
        <w:rPr>
          <w:rFonts w:ascii="Times New Roman" w:hAnsi="Times New Roman" w:cs="Times New Roman"/>
          <w:sz w:val="24"/>
          <w:szCs w:val="24"/>
        </w:rPr>
        <w:t xml:space="preserve"> Olan Hastalarda DEVASİD</w:t>
      </w:r>
      <w:r w:rsidRPr="00A93562">
        <w:rPr>
          <w:rFonts w:ascii="Times New Roman" w:hAnsi="Times New Roman" w:cs="Times New Roman"/>
          <w:sz w:val="24"/>
          <w:szCs w:val="24"/>
        </w:rPr>
        <w:t xml:space="preserve"> Dozaj Uygulaması: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4"/>
        <w:gridCol w:w="2602"/>
        <w:gridCol w:w="2916"/>
      </w:tblGrid>
      <w:tr w:rsidR="00D30447" w:rsidRPr="00A93562" w:rsidTr="002B6A37">
        <w:trPr>
          <w:trHeight w:val="569"/>
        </w:trPr>
        <w:tc>
          <w:tcPr>
            <w:tcW w:w="2704" w:type="dxa"/>
            <w:shd w:val="clear" w:color="auto" w:fill="FFFFFF"/>
          </w:tcPr>
          <w:p w:rsidR="00D30447" w:rsidRPr="00A93562" w:rsidRDefault="00D30447" w:rsidP="00D304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Kreatinin</w:t>
            </w:r>
            <w:proofErr w:type="spellEnd"/>
            <w:r w:rsidRPr="00A93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klerensi</w:t>
            </w:r>
            <w:proofErr w:type="spellEnd"/>
          </w:p>
          <w:p w:rsidR="00D30447" w:rsidRPr="00A93562" w:rsidRDefault="00D30447" w:rsidP="00D304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ml/</w:t>
            </w:r>
            <w:proofErr w:type="spellStart"/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dk</w:t>
            </w:r>
            <w:proofErr w:type="spellEnd"/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. 1.73 m</w:t>
            </w:r>
            <w:r w:rsidRPr="00A935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Start"/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02" w:type="dxa"/>
            <w:shd w:val="clear" w:color="auto" w:fill="FFFFFF"/>
          </w:tcPr>
          <w:p w:rsidR="00D30447" w:rsidRPr="00A93562" w:rsidRDefault="00D30447" w:rsidP="00D304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Ampisilin</w:t>
            </w:r>
            <w:proofErr w:type="spellEnd"/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Sulbaktam</w:t>
            </w:r>
            <w:proofErr w:type="spellEnd"/>
          </w:p>
          <w:p w:rsidR="00D30447" w:rsidRPr="00A93562" w:rsidRDefault="00D30447" w:rsidP="00D304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Yarı Ömrü (saat)</w:t>
            </w:r>
          </w:p>
        </w:tc>
        <w:tc>
          <w:tcPr>
            <w:tcW w:w="2916" w:type="dxa"/>
            <w:shd w:val="clear" w:color="auto" w:fill="FFFFFF"/>
          </w:tcPr>
          <w:p w:rsidR="00D30447" w:rsidRPr="00A93562" w:rsidRDefault="00D30447" w:rsidP="00D304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 xml:space="preserve">Önerilen </w:t>
            </w:r>
            <w:r w:rsidR="00971288" w:rsidRPr="00A93562">
              <w:rPr>
                <w:rFonts w:ascii="Times New Roman" w:hAnsi="Times New Roman" w:cs="Times New Roman"/>
                <w:sz w:val="24"/>
                <w:szCs w:val="24"/>
              </w:rPr>
              <w:t>DEVASİD</w:t>
            </w: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 xml:space="preserve"> Dozu</w:t>
            </w:r>
          </w:p>
          <w:p w:rsidR="00D30447" w:rsidRPr="00A93562" w:rsidRDefault="00D30447" w:rsidP="00D304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447" w:rsidRPr="00A93562" w:rsidTr="002B6A37">
        <w:trPr>
          <w:trHeight w:hRule="exact" w:val="272"/>
        </w:trPr>
        <w:tc>
          <w:tcPr>
            <w:tcW w:w="2704" w:type="dxa"/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&gt;30</w:t>
            </w:r>
          </w:p>
        </w:tc>
        <w:tc>
          <w:tcPr>
            <w:tcW w:w="2602" w:type="dxa"/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1.5- 3 g 6-8 saatte bir</w:t>
            </w:r>
          </w:p>
        </w:tc>
      </w:tr>
      <w:tr w:rsidR="00D30447" w:rsidRPr="00A93562" w:rsidTr="002B6A37">
        <w:trPr>
          <w:trHeight w:hRule="exact" w:val="287"/>
        </w:trPr>
        <w:tc>
          <w:tcPr>
            <w:tcW w:w="2704" w:type="dxa"/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15-29</w:t>
            </w:r>
          </w:p>
        </w:tc>
        <w:tc>
          <w:tcPr>
            <w:tcW w:w="2602" w:type="dxa"/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6" w:type="dxa"/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1.5 - 3 g 12 saate bir</w:t>
            </w:r>
          </w:p>
        </w:tc>
      </w:tr>
      <w:tr w:rsidR="00D30447" w:rsidRPr="00A93562" w:rsidTr="002B6A37">
        <w:trPr>
          <w:trHeight w:hRule="exact" w:val="266"/>
        </w:trPr>
        <w:tc>
          <w:tcPr>
            <w:tcW w:w="2704" w:type="dxa"/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5-14</w:t>
            </w:r>
          </w:p>
        </w:tc>
        <w:tc>
          <w:tcPr>
            <w:tcW w:w="2602" w:type="dxa"/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6" w:type="dxa"/>
            <w:shd w:val="clear" w:color="auto" w:fill="FFFFFF"/>
          </w:tcPr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62">
              <w:rPr>
                <w:rFonts w:ascii="Times New Roman" w:hAnsi="Times New Roman" w:cs="Times New Roman"/>
                <w:sz w:val="24"/>
                <w:szCs w:val="24"/>
              </w:rPr>
              <w:t>1.5 - 3 g 24 saatte bir</w:t>
            </w:r>
          </w:p>
          <w:p w:rsidR="00D30447" w:rsidRPr="00A93562" w:rsidRDefault="00D30447" w:rsidP="00D304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 xml:space="preserve">Pediyatrik </w:t>
      </w:r>
      <w:proofErr w:type="gramStart"/>
      <w:r w:rsidRPr="00A93562">
        <w:rPr>
          <w:rFonts w:ascii="Times New Roman" w:hAnsi="Times New Roman" w:cs="Times New Roman"/>
          <w:b/>
          <w:bCs/>
          <w:sz w:val="24"/>
          <w:szCs w:val="24"/>
        </w:rPr>
        <w:t>popülasyon</w:t>
      </w:r>
      <w:proofErr w:type="gramEnd"/>
      <w:r w:rsidRPr="00A9356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 xml:space="preserve">Çocuklar, bebekler ve yeni doğanlarda </w:t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enfeksiyonların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 xml:space="preserve"> çoğu için dozaj 150 mg/kg/gün (100 mg/kg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ve 50 mg/kg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sulbaktama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tekabül eder) dür.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Ampisilin'in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alışılmış uygulamasına uygun olarak çocuklar, bebekler ve yeni doğanlarda dozlar genellikle 6-8 saatte bir olmalıdır. Yeni doğanlarda (özellikle erken doğmuşlarda) hayatın ilk haftasında tavsiye edilen doz, 12 saatte bir bölünmüş dozlar halinde 75 mg/kg/gün'dür (25 mg/kg/gün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ve 50 mg/kg/gün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ampisiline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tekabül eder).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>4.3.</w:t>
      </w:r>
      <w:proofErr w:type="spellStart"/>
      <w:r w:rsidRPr="00A93562">
        <w:rPr>
          <w:rFonts w:ascii="Times New Roman" w:hAnsi="Times New Roman" w:cs="Times New Roman"/>
          <w:b/>
          <w:bCs/>
          <w:sz w:val="24"/>
          <w:szCs w:val="24"/>
        </w:rPr>
        <w:t>Kontrendikasyonlar</w:t>
      </w:r>
      <w:proofErr w:type="spellEnd"/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 xml:space="preserve">Özgeçmişinde herhangi bir penisiline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allerjik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reaksiyon bulunan kişilerde </w:t>
      </w:r>
      <w:r w:rsidR="00971288" w:rsidRPr="00A93562">
        <w:rPr>
          <w:rFonts w:ascii="Times New Roman" w:hAnsi="Times New Roman" w:cs="Times New Roman"/>
          <w:sz w:val="24"/>
          <w:szCs w:val="24"/>
        </w:rPr>
        <w:t>DEVASİD</w:t>
      </w:r>
      <w:r w:rsidRPr="00A93562">
        <w:rPr>
          <w:rFonts w:ascii="Times New Roman" w:hAnsi="Times New Roman" w:cs="Times New Roman"/>
          <w:sz w:val="24"/>
          <w:szCs w:val="24"/>
        </w:rPr>
        <w:t xml:space="preserve"> kullanılması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kontrendikedir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>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 xml:space="preserve">Eritici olarak kullanılan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lidokain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hidroklorür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amid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tipi </w:t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lokal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anesteziklere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aşırı duyarlılığı olan kişilerde veya kalp bloğu olan hastalarda kullanılmamalıdır.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>4.4.Özel kullanım uyarıları ve önlemleri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sodyum/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sodyum </w:t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 xml:space="preserve"> olmak üzere penisilin tedavisi yapılan hastalarda ciddi, hatta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bazan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fatal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aşırı duyarlılık (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anaflaktik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) </w:t>
      </w:r>
      <w:r w:rsidR="002B6A37" w:rsidRPr="00A93562">
        <w:rPr>
          <w:rFonts w:ascii="Times New Roman" w:hAnsi="Times New Roman" w:cs="Times New Roman"/>
          <w:sz w:val="24"/>
          <w:szCs w:val="24"/>
        </w:rPr>
        <w:t>reaksiyonları</w:t>
      </w:r>
      <w:r w:rsidRPr="00A93562">
        <w:rPr>
          <w:rFonts w:ascii="Times New Roman" w:hAnsi="Times New Roman" w:cs="Times New Roman"/>
          <w:sz w:val="24"/>
          <w:szCs w:val="24"/>
        </w:rPr>
        <w:t xml:space="preserve"> bildirilmiştir. Bu reaksiyonlar </w:t>
      </w:r>
      <w:r w:rsidRPr="00A93562">
        <w:rPr>
          <w:rFonts w:ascii="Times New Roman" w:hAnsi="Times New Roman" w:cs="Times New Roman"/>
          <w:sz w:val="24"/>
          <w:szCs w:val="24"/>
        </w:rPr>
        <w:lastRenderedPageBreak/>
        <w:t>daha ziyade geçmişinde penisil</w:t>
      </w:r>
      <w:r w:rsidR="00682288" w:rsidRPr="00A93562">
        <w:rPr>
          <w:rFonts w:ascii="Times New Roman" w:hAnsi="Times New Roman" w:cs="Times New Roman"/>
          <w:sz w:val="24"/>
          <w:szCs w:val="24"/>
        </w:rPr>
        <w:t xml:space="preserve">in ve/veya birçok </w:t>
      </w:r>
      <w:proofErr w:type="spellStart"/>
      <w:r w:rsidR="00682288" w:rsidRPr="00A93562">
        <w:rPr>
          <w:rFonts w:ascii="Times New Roman" w:hAnsi="Times New Roman" w:cs="Times New Roman"/>
          <w:sz w:val="24"/>
          <w:szCs w:val="24"/>
        </w:rPr>
        <w:t>allerjene</w:t>
      </w:r>
      <w:proofErr w:type="spellEnd"/>
      <w:r w:rsidR="00682288" w:rsidRPr="00A93562">
        <w:rPr>
          <w:rFonts w:ascii="Times New Roman" w:hAnsi="Times New Roman" w:cs="Times New Roman"/>
          <w:sz w:val="24"/>
          <w:szCs w:val="24"/>
        </w:rPr>
        <w:t xml:space="preserve"> aşırı</w:t>
      </w:r>
      <w:r w:rsidRPr="00A93562">
        <w:rPr>
          <w:rFonts w:ascii="Times New Roman" w:hAnsi="Times New Roman" w:cs="Times New Roman"/>
          <w:sz w:val="24"/>
          <w:szCs w:val="24"/>
        </w:rPr>
        <w:t xml:space="preserve"> hassasiyeti olan kişilerde meydana gelirler.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Anamnezinde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penisilin hassasiyeti olan kişiler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sefalosporinlerle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tedavi edildiğinde şiddetli reaksiyonlar meydana geldiği bildirilmiştir. Penisilin tedavisinden önce, geçmişteki penisilin,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sefalosporin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ve diğer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allerjenlere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duyarlılık reaksiyonları olup olmadığı dikkatle soruşturulmalıdır. Eğer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</w:t>
      </w:r>
      <w:r w:rsidR="00545FF8" w:rsidRPr="00A93562">
        <w:rPr>
          <w:rFonts w:ascii="Times New Roman" w:hAnsi="Times New Roman" w:cs="Times New Roman"/>
          <w:sz w:val="24"/>
          <w:szCs w:val="24"/>
        </w:rPr>
        <w:t>l</w:t>
      </w:r>
      <w:r w:rsidRPr="00A93562">
        <w:rPr>
          <w:rFonts w:ascii="Times New Roman" w:hAnsi="Times New Roman" w:cs="Times New Roman"/>
          <w:sz w:val="24"/>
          <w:szCs w:val="24"/>
        </w:rPr>
        <w:t>lerjik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bir reaksiyon meydana gelirse, ilaç kesilmeli ve uygun tedavi başlatılmalıdır.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 xml:space="preserve">Ciddi,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anaflaktik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reaksiyonlar adrenalin (epinefrin) ile hemen acil tedavi gerektirir. Oksijen,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steroidler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intubasyon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 xml:space="preserve"> havayol</w:t>
      </w:r>
      <w:r w:rsidR="00971288" w:rsidRPr="00A93562">
        <w:rPr>
          <w:rFonts w:ascii="Times New Roman" w:hAnsi="Times New Roman" w:cs="Times New Roman"/>
          <w:sz w:val="24"/>
          <w:szCs w:val="24"/>
        </w:rPr>
        <w:t>ların</w:t>
      </w:r>
      <w:r w:rsidR="002B6A37" w:rsidRPr="00A93562">
        <w:rPr>
          <w:rFonts w:ascii="Times New Roman" w:hAnsi="Times New Roman" w:cs="Times New Roman"/>
          <w:sz w:val="24"/>
          <w:szCs w:val="24"/>
        </w:rPr>
        <w:t>ın</w:t>
      </w:r>
      <w:r w:rsidRPr="00A93562">
        <w:rPr>
          <w:rFonts w:ascii="Times New Roman" w:hAnsi="Times New Roman" w:cs="Times New Roman"/>
          <w:sz w:val="24"/>
          <w:szCs w:val="24"/>
        </w:rPr>
        <w:t xml:space="preserve"> açık tutulması önlemleri gerekli olduğu şekilde uygulanmalıdır.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 xml:space="preserve">Her antibiyotik preparatında olduğu gibi, mantarlar </w:t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 xml:space="preserve">, duyarlı olmayan organizmaların </w:t>
      </w:r>
      <w:r w:rsidR="00682288" w:rsidRPr="00A93562">
        <w:rPr>
          <w:rFonts w:ascii="Times New Roman" w:hAnsi="Times New Roman" w:cs="Times New Roman"/>
          <w:sz w:val="24"/>
          <w:szCs w:val="24"/>
        </w:rPr>
        <w:t>aşırı</w:t>
      </w:r>
      <w:r w:rsidRPr="00A93562">
        <w:rPr>
          <w:rFonts w:ascii="Times New Roman" w:hAnsi="Times New Roman" w:cs="Times New Roman"/>
          <w:sz w:val="24"/>
          <w:szCs w:val="24"/>
        </w:rPr>
        <w:t xml:space="preserve"> üreme belirtileri için devamlı gözlem gereklidir.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Süperenfeksiyon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olduğunda, ilaç kesilmeli ve/veya uygun tedavi uygulanmalıdır.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sodyum/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sodyum </w:t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 xml:space="preserve"> hemen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hemen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tüm antibiyotik ajanlar ile </w:t>
      </w:r>
      <w:proofErr w:type="spellStart"/>
      <w:r w:rsidRPr="00A93562">
        <w:rPr>
          <w:rFonts w:ascii="Times New Roman" w:hAnsi="Times New Roman" w:cs="Times New Roman"/>
          <w:i/>
          <w:iCs/>
          <w:sz w:val="24"/>
          <w:szCs w:val="24"/>
        </w:rPr>
        <w:t>Clostridium</w:t>
      </w:r>
      <w:proofErr w:type="spellEnd"/>
      <w:r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i/>
          <w:iCs/>
          <w:sz w:val="24"/>
          <w:szCs w:val="24"/>
        </w:rPr>
        <w:t>diffîcüe'ye</w:t>
      </w:r>
      <w:proofErr w:type="spellEnd"/>
      <w:r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93562">
        <w:rPr>
          <w:rFonts w:ascii="Times New Roman" w:hAnsi="Times New Roman" w:cs="Times New Roman"/>
          <w:sz w:val="24"/>
          <w:szCs w:val="24"/>
        </w:rPr>
        <w:t xml:space="preserve">bağlı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diyare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(CDAD) rapor edilmiştir. Bu durum hafif dereceli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diyareden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fatal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kolite kadar değişkenlik gösterebilir.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Antibakteriyel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ajanlarla tedavi kolonun normal </w:t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florasını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 xml:space="preserve"> değiştirerek </w:t>
      </w:r>
      <w:proofErr w:type="spellStart"/>
      <w:r w:rsidR="002B6A37" w:rsidRPr="00A93562">
        <w:rPr>
          <w:rFonts w:ascii="Times New Roman" w:hAnsi="Times New Roman" w:cs="Times New Roman"/>
          <w:i/>
          <w:iCs/>
          <w:sz w:val="24"/>
          <w:szCs w:val="24"/>
        </w:rPr>
        <w:t>Clostridium</w:t>
      </w:r>
      <w:proofErr w:type="spellEnd"/>
      <w:r w:rsidR="002B6A37"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B6A37" w:rsidRPr="00A93562">
        <w:rPr>
          <w:rFonts w:ascii="Times New Roman" w:hAnsi="Times New Roman" w:cs="Times New Roman"/>
          <w:i/>
          <w:iCs/>
          <w:sz w:val="24"/>
          <w:szCs w:val="24"/>
        </w:rPr>
        <w:t>diffi</w:t>
      </w:r>
      <w:r w:rsidRPr="00A9356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2B6A37" w:rsidRPr="00A93562">
        <w:rPr>
          <w:rFonts w:ascii="Times New Roman" w:hAnsi="Times New Roman" w:cs="Times New Roman"/>
          <w:i/>
          <w:iCs/>
          <w:sz w:val="24"/>
          <w:szCs w:val="24"/>
        </w:rPr>
        <w:t>ile'nin</w:t>
      </w:r>
      <w:proofErr w:type="spellEnd"/>
      <w:r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93562">
        <w:rPr>
          <w:rFonts w:ascii="Times New Roman" w:hAnsi="Times New Roman" w:cs="Times New Roman"/>
          <w:sz w:val="24"/>
          <w:szCs w:val="24"/>
        </w:rPr>
        <w:t>aşırı üremesine neden olur.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562">
        <w:rPr>
          <w:rFonts w:ascii="Times New Roman" w:hAnsi="Times New Roman" w:cs="Times New Roman"/>
          <w:i/>
          <w:iCs/>
          <w:sz w:val="24"/>
          <w:szCs w:val="24"/>
        </w:rPr>
        <w:t>Clostridium</w:t>
      </w:r>
      <w:proofErr w:type="spellEnd"/>
      <w:r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i/>
          <w:iCs/>
          <w:sz w:val="24"/>
          <w:szCs w:val="24"/>
        </w:rPr>
        <w:t>difficile</w:t>
      </w:r>
      <w:proofErr w:type="spellEnd"/>
      <w:r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CDAD'ya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neden olan A ve B toksinleri üretir. Bu </w:t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enfeksiyonlar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antimikrobiyal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tedaviye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refrakter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olabileceğinden ve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kolektomi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gerekebileceğinden C. </w:t>
      </w:r>
      <w:proofErr w:type="spellStart"/>
      <w:r w:rsidRPr="00A93562">
        <w:rPr>
          <w:rFonts w:ascii="Times New Roman" w:hAnsi="Times New Roman" w:cs="Times New Roman"/>
          <w:i/>
          <w:iCs/>
          <w:sz w:val="24"/>
          <w:szCs w:val="24"/>
        </w:rPr>
        <w:t>difficile'nin</w:t>
      </w:r>
      <w:proofErr w:type="spellEnd"/>
      <w:r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hipertoksin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üreten türleri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morbidite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mortalitede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artışa neden olur. Antibiyotik kullanımını takiben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diyare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görülen tüm hastalarda CDAD olasılığı dikkate alınmalıdır.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CDAD'n</w:t>
      </w:r>
      <w:r w:rsidR="002B6A37" w:rsidRPr="00A93562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antibakteriyel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ajan</w:t>
      </w:r>
      <w:r w:rsidR="00971288" w:rsidRPr="00A93562">
        <w:rPr>
          <w:rFonts w:ascii="Times New Roman" w:hAnsi="Times New Roman" w:cs="Times New Roman"/>
          <w:sz w:val="24"/>
          <w:szCs w:val="24"/>
        </w:rPr>
        <w:t>ların</w:t>
      </w:r>
      <w:r w:rsidRPr="00A93562">
        <w:rPr>
          <w:rFonts w:ascii="Times New Roman" w:hAnsi="Times New Roman" w:cs="Times New Roman"/>
          <w:sz w:val="24"/>
          <w:szCs w:val="24"/>
        </w:rPr>
        <w:t xml:space="preserve"> verilişinden 2 ay sonra ortaya çıktığı rapor edildiği için medikal </w:t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hikayeye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 xml:space="preserve"> dikkat edilmelidir.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562">
        <w:rPr>
          <w:rFonts w:ascii="Times New Roman" w:hAnsi="Times New Roman" w:cs="Times New Roman"/>
          <w:sz w:val="24"/>
          <w:szCs w:val="24"/>
        </w:rPr>
        <w:t>CDAD'dan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şüpheleniliyorsa veya tespit edilmişse </w:t>
      </w:r>
      <w:r w:rsidRPr="00A93562">
        <w:rPr>
          <w:rFonts w:ascii="Times New Roman" w:hAnsi="Times New Roman" w:cs="Times New Roman"/>
          <w:i/>
          <w:iCs/>
          <w:sz w:val="24"/>
          <w:szCs w:val="24"/>
        </w:rPr>
        <w:t>C.</w:t>
      </w:r>
      <w:proofErr w:type="spellStart"/>
      <w:r w:rsidRPr="00A93562">
        <w:rPr>
          <w:rFonts w:ascii="Times New Roman" w:hAnsi="Times New Roman" w:cs="Times New Roman"/>
          <w:i/>
          <w:iCs/>
          <w:sz w:val="24"/>
          <w:szCs w:val="24"/>
        </w:rPr>
        <w:t>difficile'ye</w:t>
      </w:r>
      <w:proofErr w:type="spellEnd"/>
      <w:r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93562">
        <w:rPr>
          <w:rFonts w:ascii="Times New Roman" w:hAnsi="Times New Roman" w:cs="Times New Roman"/>
          <w:sz w:val="24"/>
          <w:szCs w:val="24"/>
        </w:rPr>
        <w:t xml:space="preserve">yönelik olmayan antibiyotik kullanımı kesilmelidir. Uygun sıvı ve elektrolit yönetimi, protein takviyesi, </w:t>
      </w:r>
      <w:r w:rsidRPr="00A93562">
        <w:rPr>
          <w:rFonts w:ascii="Times New Roman" w:hAnsi="Times New Roman" w:cs="Times New Roman"/>
          <w:i/>
          <w:iCs/>
          <w:sz w:val="24"/>
          <w:szCs w:val="24"/>
        </w:rPr>
        <w:t>C.</w:t>
      </w:r>
      <w:proofErr w:type="spellStart"/>
      <w:r w:rsidRPr="00A93562">
        <w:rPr>
          <w:rFonts w:ascii="Times New Roman" w:hAnsi="Times New Roman" w:cs="Times New Roman"/>
          <w:i/>
          <w:iCs/>
          <w:sz w:val="24"/>
          <w:szCs w:val="24"/>
        </w:rPr>
        <w:t>difficile'ye</w:t>
      </w:r>
      <w:proofErr w:type="spellEnd"/>
      <w:r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93562">
        <w:rPr>
          <w:rFonts w:ascii="Times New Roman" w:hAnsi="Times New Roman" w:cs="Times New Roman"/>
          <w:sz w:val="24"/>
          <w:szCs w:val="24"/>
        </w:rPr>
        <w:t>yönelik antibiyotik tedavisi ve cerrahi değerlendirme başlatılmalıdır.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 xml:space="preserve">Diğer güçlü sistemik ajanlarda olduğu gibi, uzun süreli tedavilerde,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renal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hepatik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hematopoetik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sistemler </w:t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 xml:space="preserve"> olmak üzere periyodik olarak organ sistem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disfonksiyonu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kontrolü tavsiye edilir. Bu, yeni doğanlarda, özellikle prematürelerde ve diğer bebeklerde önemlidir.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562">
        <w:rPr>
          <w:rFonts w:ascii="Times New Roman" w:hAnsi="Times New Roman" w:cs="Times New Roman"/>
          <w:sz w:val="24"/>
          <w:szCs w:val="24"/>
        </w:rPr>
        <w:t>Enfeksiyöz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mononükleoz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viral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kaynaklı olup, tedavisinde </w:t>
      </w:r>
      <w:proofErr w:type="spellStart"/>
      <w:r w:rsidR="00545FF8" w:rsidRPr="00A9356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="00545FF8" w:rsidRPr="00A9356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45FF8" w:rsidRPr="00A9356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kullanılmamalıdır.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Mononükleozlu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hastalardan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alanların büyük bir yüzdesinde deri döküntüsü görülür.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lastRenderedPageBreak/>
        <w:t xml:space="preserve">Her </w:t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1.5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 xml:space="preserve"> g </w:t>
      </w:r>
      <w:r w:rsidR="002B6A37" w:rsidRPr="00A93562">
        <w:rPr>
          <w:rFonts w:ascii="Times New Roman" w:hAnsi="Times New Roman" w:cs="Times New Roman"/>
          <w:sz w:val="24"/>
          <w:szCs w:val="24"/>
        </w:rPr>
        <w:t>DEVASİD</w:t>
      </w:r>
      <w:r w:rsidRPr="00A93562">
        <w:rPr>
          <w:rFonts w:ascii="Times New Roman" w:hAnsi="Times New Roman" w:cs="Times New Roman"/>
          <w:sz w:val="24"/>
          <w:szCs w:val="24"/>
        </w:rPr>
        <w:t xml:space="preserve"> (1000 mg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+ 500 mg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) yaklaşık 115 mg (5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mmol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>) sodyum ihtiva eder. Bu durum, kontrollü sodyum diyetinde olan hastalar için göz önünde bulundurulmalıdır.</w:t>
      </w:r>
    </w:p>
    <w:p w:rsidR="00F20176" w:rsidRPr="00A93562" w:rsidRDefault="00F20176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>4.5. Diğer tıbbi ürünler ile etkileşimler ve diğer etkileşim şekilleri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Allopurinol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allopurinolün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birlikte kullanımı, hastalarda deri döküntüsü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insidansını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, yalnız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alan hastalara göre, önemli derecede artırır.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Aminoglikozidler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aminoglikozidlerin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r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A93562">
        <w:rPr>
          <w:rFonts w:ascii="Times New Roman" w:hAnsi="Times New Roman" w:cs="Times New Roman"/>
          <w:i/>
          <w:iCs/>
          <w:sz w:val="24"/>
          <w:szCs w:val="24"/>
        </w:rPr>
        <w:t>vitro</w:t>
      </w:r>
      <w:proofErr w:type="spellEnd"/>
      <w:r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93562">
        <w:rPr>
          <w:rFonts w:ascii="Times New Roman" w:hAnsi="Times New Roman" w:cs="Times New Roman"/>
          <w:sz w:val="24"/>
          <w:szCs w:val="24"/>
        </w:rPr>
        <w:t xml:space="preserve">olarak karıştırılması her iki bileşikte de belirgin bir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inaktivasyon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ile sonuçlanmıştır; eğer bu grup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antibakteriyeller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birlikte kullanılacaksa, en az bir saatlik ara ile ve farklı bölgelerden uygulanmalıdırlar (Bkz. Bölüm </w:t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6.2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>).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Antikoagülanlar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Parenteral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penisilinler, pıhtılaşma testleri ve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trombosit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agregasyonu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üzerine etki edebilirler. Bu etkiler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antikoagülanlar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ile artabilir.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562">
        <w:rPr>
          <w:rFonts w:ascii="Times New Roman" w:hAnsi="Times New Roman" w:cs="Times New Roman"/>
          <w:sz w:val="24"/>
          <w:szCs w:val="24"/>
        </w:rPr>
        <w:t>Bakteriyostatik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ilaçlar (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kloramfenikol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eritromisin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sulfonamidler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tetrasiklinler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Bakteriyostatik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ilaçlar penisilinlerin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bakterisid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etkisi ile etkileşebilirler; birlikte tedaviden kaçınılması önerilir.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562">
        <w:rPr>
          <w:rFonts w:ascii="Times New Roman" w:hAnsi="Times New Roman" w:cs="Times New Roman"/>
          <w:sz w:val="24"/>
          <w:szCs w:val="24"/>
        </w:rPr>
        <w:t>Metotreksat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: Penisilinlerle birlikte kullanım,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metotreksat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klerensinde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azalma ve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metotreksat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toksisitesi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ile sonuçlanmıştır. Hastalar yakından izlenmelidir. Kalsiyum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folinat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dozunun art</w:t>
      </w:r>
      <w:r w:rsidR="002B6A37" w:rsidRPr="00A93562">
        <w:rPr>
          <w:rFonts w:ascii="Times New Roman" w:hAnsi="Times New Roman" w:cs="Times New Roman"/>
          <w:sz w:val="24"/>
          <w:szCs w:val="24"/>
        </w:rPr>
        <w:t>ırı</w:t>
      </w:r>
      <w:r w:rsidRPr="00A93562">
        <w:rPr>
          <w:rFonts w:ascii="Times New Roman" w:hAnsi="Times New Roman" w:cs="Times New Roman"/>
          <w:sz w:val="24"/>
          <w:szCs w:val="24"/>
        </w:rPr>
        <w:t>lması veya daha uzun dönem boyunca uygulanması gerekebilir.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 xml:space="preserve">Östrojen içeren Oral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Kontraseptifler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kullanan kadınlarda, oral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kontraseptiflerin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r w:rsidR="00971288" w:rsidRPr="00A93562">
        <w:rPr>
          <w:rFonts w:ascii="Times New Roman" w:hAnsi="Times New Roman" w:cs="Times New Roman"/>
          <w:sz w:val="24"/>
          <w:szCs w:val="24"/>
        </w:rPr>
        <w:t>etkinliğinin azalmasına</w:t>
      </w:r>
      <w:r w:rsidRPr="00A93562">
        <w:rPr>
          <w:rFonts w:ascii="Times New Roman" w:hAnsi="Times New Roman" w:cs="Times New Roman"/>
          <w:sz w:val="24"/>
          <w:szCs w:val="24"/>
        </w:rPr>
        <w:t xml:space="preserve"> dair vakalar bildirilmiştir ki</w:t>
      </w:r>
      <w:r w:rsidR="00971288" w:rsidRPr="00A93562">
        <w:rPr>
          <w:rFonts w:ascii="Times New Roman" w:hAnsi="Times New Roman" w:cs="Times New Roman"/>
          <w:sz w:val="24"/>
          <w:szCs w:val="24"/>
        </w:rPr>
        <w:t xml:space="preserve"> </w:t>
      </w:r>
      <w:r w:rsidRPr="00A93562">
        <w:rPr>
          <w:rFonts w:ascii="Times New Roman" w:hAnsi="Times New Roman" w:cs="Times New Roman"/>
          <w:sz w:val="24"/>
          <w:szCs w:val="24"/>
        </w:rPr>
        <w:t>bunlar beklenmeyen</w:t>
      </w:r>
      <w:r w:rsidR="00971288" w:rsidRPr="00A93562">
        <w:rPr>
          <w:rFonts w:ascii="Times New Roman" w:hAnsi="Times New Roman" w:cs="Times New Roman"/>
          <w:sz w:val="24"/>
          <w:szCs w:val="24"/>
        </w:rPr>
        <w:t xml:space="preserve"> </w:t>
      </w:r>
      <w:r w:rsidRPr="00A93562">
        <w:rPr>
          <w:rFonts w:ascii="Times New Roman" w:hAnsi="Times New Roman" w:cs="Times New Roman"/>
          <w:sz w:val="24"/>
          <w:szCs w:val="24"/>
        </w:rPr>
        <w:t xml:space="preserve">gebelikle sonuçlanmıştır. Aradaki ilişki zayıf olmasına rağmen,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kullanımı sırasında hastalara alternatif veya ilave bir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kontraseptif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yöntem seçeneği sağlanmalıdır.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562">
        <w:rPr>
          <w:rFonts w:ascii="Times New Roman" w:hAnsi="Times New Roman" w:cs="Times New Roman"/>
          <w:sz w:val="24"/>
          <w:szCs w:val="24"/>
        </w:rPr>
        <w:t>Probenesid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: Birlikte kullanıldığında,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probenesid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sulbaktamın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renal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tübüler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sekresyonunu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azaltır; bu etki serum konsantrasyonlarının artması ve uzaması, </w:t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eliminasyon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 xml:space="preserve"> yarı ömrünün uzaması ve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toksisite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riskinde artış ile sonuçlanır.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 xml:space="preserve">Laboratuvar Test Etkileşmeleri: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Benedict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Fehling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reaktifleri ve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ClinitestTM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kullanılarak yapılan idrar analizlerinde yanlış pozitif glikozüri gözlenebilir.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hamile kadınlara verilmesini takiben, total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konjuge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östriol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östriol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glukuronid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konjuge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östron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östradiol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plazma </w:t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konsantrasyon</w:t>
      </w:r>
      <w:r w:rsidR="00971288" w:rsidRPr="00A93562">
        <w:rPr>
          <w:rFonts w:ascii="Times New Roman" w:hAnsi="Times New Roman" w:cs="Times New Roman"/>
          <w:sz w:val="24"/>
          <w:szCs w:val="24"/>
        </w:rPr>
        <w:t>ların</w:t>
      </w:r>
      <w:r w:rsidRPr="00A93562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 xml:space="preserve"> geçici bir düşüş kaydedilmiştir. Bu etki aynı zamanda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sodyum /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sodyum IM/</w:t>
      </w:r>
      <w:r w:rsidR="002B6A37" w:rsidRPr="00A93562">
        <w:rPr>
          <w:rFonts w:ascii="Times New Roman" w:hAnsi="Times New Roman" w:cs="Times New Roman"/>
          <w:sz w:val="24"/>
          <w:szCs w:val="24"/>
        </w:rPr>
        <w:t>I</w:t>
      </w:r>
      <w:r w:rsidRPr="00A93562">
        <w:rPr>
          <w:rFonts w:ascii="Times New Roman" w:hAnsi="Times New Roman" w:cs="Times New Roman"/>
          <w:sz w:val="24"/>
          <w:szCs w:val="24"/>
        </w:rPr>
        <w:t>V ile de meydana gelebilir.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 xml:space="preserve">Özel </w:t>
      </w:r>
      <w:proofErr w:type="gramStart"/>
      <w:r w:rsidRPr="00A93562">
        <w:rPr>
          <w:rFonts w:ascii="Times New Roman" w:hAnsi="Times New Roman" w:cs="Times New Roman"/>
          <w:b/>
          <w:bCs/>
          <w:sz w:val="24"/>
          <w:szCs w:val="24"/>
        </w:rPr>
        <w:t>popülasyonlara</w:t>
      </w:r>
      <w:proofErr w:type="gramEnd"/>
      <w:r w:rsidRPr="00A93562">
        <w:rPr>
          <w:rFonts w:ascii="Times New Roman" w:hAnsi="Times New Roman" w:cs="Times New Roman"/>
          <w:b/>
          <w:bCs/>
          <w:sz w:val="24"/>
          <w:szCs w:val="24"/>
        </w:rPr>
        <w:t xml:space="preserve"> ilişkin ek bilgiler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>Mevcut değildir.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 xml:space="preserve">Pediyatrik </w:t>
      </w:r>
      <w:proofErr w:type="gramStart"/>
      <w:r w:rsidRPr="00A93562">
        <w:rPr>
          <w:rFonts w:ascii="Times New Roman" w:hAnsi="Times New Roman" w:cs="Times New Roman"/>
          <w:b/>
          <w:bCs/>
          <w:sz w:val="24"/>
          <w:szCs w:val="24"/>
        </w:rPr>
        <w:t>popülasyon</w:t>
      </w:r>
      <w:proofErr w:type="gramEnd"/>
      <w:r w:rsidRPr="00A9356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>Mevcut değildir.</w:t>
      </w:r>
    </w:p>
    <w:p w:rsidR="00971288" w:rsidRPr="00A93562" w:rsidRDefault="00971288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A3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4.6.Gebelik ve laktasyon 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>Genel tavsiye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>Gebelik kategorisi: B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>Çocuk doğurma potansiyeli bulunan kadınlar / Doğum kontrolü (</w:t>
      </w:r>
      <w:proofErr w:type="spellStart"/>
      <w:r w:rsidRPr="00A93562">
        <w:rPr>
          <w:rFonts w:ascii="Times New Roman" w:hAnsi="Times New Roman" w:cs="Times New Roman"/>
          <w:b/>
          <w:bCs/>
          <w:sz w:val="24"/>
          <w:szCs w:val="24"/>
        </w:rPr>
        <w:t>Kontrasepsiyon</w:t>
      </w:r>
      <w:proofErr w:type="spellEnd"/>
      <w:r w:rsidRPr="00A9356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, oral yolla alınan doğum kontrol ilaçları ile etkileşime geçmektedir. Bu nedenle, tedavi süresince alternatif, etkili ve güvenilir bir doğum kontrol yöntemi uygulanmalıdır (Bkz. Bölüm </w:t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4.5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>).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>Gebelik dönemi</w:t>
      </w:r>
    </w:p>
    <w:p w:rsidR="00D30447" w:rsidRPr="00A93562" w:rsidRDefault="002B6A3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>DEVASİD</w:t>
      </w:r>
      <w:r w:rsidR="00D30447" w:rsidRPr="00A93562">
        <w:rPr>
          <w:rFonts w:ascii="Times New Roman" w:hAnsi="Times New Roman" w:cs="Times New Roman"/>
          <w:sz w:val="24"/>
          <w:szCs w:val="24"/>
        </w:rPr>
        <w:t xml:space="preserve"> için, gebeliklerde maruz kalmaya ilişkin klinik veri mevcut değildir.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 xml:space="preserve">Hayvanlar üzerinde yapılan çalışmalar, gebelik /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embriyonal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fetal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gelişim / doğum ya da</w:t>
      </w:r>
      <w:r w:rsidR="002B6A37" w:rsidRPr="00A93562">
        <w:rPr>
          <w:rFonts w:ascii="Times New Roman" w:hAnsi="Times New Roman" w:cs="Times New Roman"/>
          <w:sz w:val="24"/>
          <w:szCs w:val="24"/>
        </w:rPr>
        <w:t xml:space="preserve"> </w:t>
      </w:r>
      <w:r w:rsidRPr="00A93562">
        <w:rPr>
          <w:rFonts w:ascii="Times New Roman" w:hAnsi="Times New Roman" w:cs="Times New Roman"/>
          <w:sz w:val="24"/>
          <w:szCs w:val="24"/>
        </w:rPr>
        <w:t>doğum sonrası gelişim ile ilgili olarak doğrudan ya da dolaylı zararlı etkiler olduğunu</w:t>
      </w:r>
      <w:r w:rsidR="002B6A37" w:rsidRPr="00A93562">
        <w:rPr>
          <w:rFonts w:ascii="Times New Roman" w:hAnsi="Times New Roman" w:cs="Times New Roman"/>
          <w:sz w:val="24"/>
          <w:szCs w:val="24"/>
        </w:rPr>
        <w:t xml:space="preserve"> </w:t>
      </w:r>
      <w:r w:rsidRPr="00A93562">
        <w:rPr>
          <w:rFonts w:ascii="Times New Roman" w:hAnsi="Times New Roman" w:cs="Times New Roman"/>
          <w:sz w:val="24"/>
          <w:szCs w:val="24"/>
        </w:rPr>
        <w:t xml:space="preserve">göstermemektedir (bkz. kısım </w:t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5.3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>).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>Gebe kadınlarda kesin ihtiyaç duyulduğunda kullanılmalıdır.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>Laktasyon dönemi</w:t>
      </w:r>
    </w:p>
    <w:p w:rsidR="007F7CAE" w:rsidRPr="00A93562" w:rsidRDefault="00D50A8C" w:rsidP="00D3044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93562">
        <w:rPr>
          <w:rFonts w:ascii="TimesNewRoman" w:hAnsi="TimesNewRoman" w:cs="TimesNewRoman"/>
          <w:sz w:val="24"/>
          <w:szCs w:val="24"/>
        </w:rPr>
        <w:t>Sulbaktam</w:t>
      </w:r>
      <w:proofErr w:type="spellEnd"/>
      <w:r w:rsidRPr="00A93562">
        <w:rPr>
          <w:rFonts w:ascii="TimesNewRoman" w:hAnsi="TimesNewRoman" w:cs="TimesNewRoman"/>
          <w:sz w:val="24"/>
          <w:szCs w:val="24"/>
        </w:rPr>
        <w:t xml:space="preserve"> ve </w:t>
      </w:r>
      <w:proofErr w:type="spellStart"/>
      <w:r w:rsidRPr="00A93562">
        <w:rPr>
          <w:rFonts w:ascii="TimesNewRoman" w:hAnsi="TimesNewRoman" w:cs="TimesNewRoman"/>
          <w:sz w:val="24"/>
          <w:szCs w:val="24"/>
        </w:rPr>
        <w:t>ampisilinin</w:t>
      </w:r>
      <w:proofErr w:type="spellEnd"/>
      <w:r w:rsidRPr="00A93562">
        <w:rPr>
          <w:rFonts w:ascii="TimesNewRoman" w:hAnsi="TimesNewRoman" w:cs="TimesNewRoman"/>
          <w:sz w:val="24"/>
          <w:szCs w:val="24"/>
        </w:rPr>
        <w:t xml:space="preserve"> laktasyon döneminde güvenli kullanılabileceği tespit edilmemiştir</w:t>
      </w:r>
      <w:r w:rsidRPr="00A935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F7CAE" w:rsidRPr="00A93562" w:rsidRDefault="007F7CAE" w:rsidP="00D3044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3562">
        <w:rPr>
          <w:rFonts w:ascii="Times New Roman" w:hAnsi="Times New Roman" w:cs="Times New Roman"/>
          <w:bCs/>
          <w:sz w:val="24"/>
          <w:szCs w:val="24"/>
        </w:rPr>
        <w:t>Sulbaktam</w:t>
      </w:r>
      <w:proofErr w:type="spellEnd"/>
      <w:r w:rsidRPr="00A93562">
        <w:rPr>
          <w:rFonts w:ascii="Times New Roman" w:hAnsi="Times New Roman" w:cs="Times New Roman"/>
          <w:bCs/>
          <w:sz w:val="24"/>
          <w:szCs w:val="24"/>
        </w:rPr>
        <w:t xml:space="preserve"> ve </w:t>
      </w:r>
      <w:proofErr w:type="spellStart"/>
      <w:r w:rsidRPr="00A93562">
        <w:rPr>
          <w:rFonts w:ascii="Times New Roman" w:hAnsi="Times New Roman" w:cs="Times New Roman"/>
          <w:bCs/>
          <w:sz w:val="24"/>
          <w:szCs w:val="24"/>
        </w:rPr>
        <w:t>ampisilin</w:t>
      </w:r>
      <w:proofErr w:type="spellEnd"/>
      <w:r w:rsidRPr="00A93562">
        <w:rPr>
          <w:rFonts w:ascii="Times New Roman" w:hAnsi="Times New Roman" w:cs="Times New Roman"/>
          <w:bCs/>
          <w:sz w:val="24"/>
          <w:szCs w:val="24"/>
        </w:rPr>
        <w:t xml:space="preserve"> düşük miktarlarda anne sütüne geçtiğinden laktasyon döneminde kullanımına dikkat edilmelidir.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>Üreme yeteneği/Fertilite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>Yapılan hayvan üreme çalışmalarında üreme veya fetüs üzerinde herhangi bir hasar ortaya</w:t>
      </w:r>
      <w:r w:rsidR="002B6A37" w:rsidRPr="00A93562">
        <w:rPr>
          <w:rFonts w:ascii="Times New Roman" w:hAnsi="Times New Roman" w:cs="Times New Roman"/>
          <w:sz w:val="24"/>
          <w:szCs w:val="24"/>
        </w:rPr>
        <w:t xml:space="preserve"> </w:t>
      </w:r>
      <w:r w:rsidRPr="00A93562">
        <w:rPr>
          <w:rFonts w:ascii="Times New Roman" w:hAnsi="Times New Roman" w:cs="Times New Roman"/>
          <w:sz w:val="24"/>
          <w:szCs w:val="24"/>
        </w:rPr>
        <w:t>çıkmamıştır.</w:t>
      </w:r>
    </w:p>
    <w:p w:rsidR="00971288" w:rsidRPr="00A93562" w:rsidRDefault="00971288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>4.7.Araç ve makine kullanımı üzerindeki etkiler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>Bilinmemektedir.</w:t>
      </w:r>
    </w:p>
    <w:p w:rsidR="00971288" w:rsidRPr="00A93562" w:rsidRDefault="00971288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>4.8.İstenmeyen etkiler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 xml:space="preserve">Diğer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parenteral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antibiyotiklerde olduğu gibi, gözlenen belli başlı yan etki, özellikle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intramusküler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uygulamaya bağlı olan </w:t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enjeksiyon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 xml:space="preserve"> yerindeki ağrıdır (%16). Bu yan etki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lidokain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kullanımı ile önlenmiştir.</w:t>
      </w:r>
    </w:p>
    <w:p w:rsidR="00D64106" w:rsidRPr="00A93562" w:rsidRDefault="00D64106" w:rsidP="00D3044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>Kan lenf sistemi hastalıkları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 xml:space="preserve">Anemi,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hemolitik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anemi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trombositopeni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eozinofili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lökopeni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sodyum/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sodyum tedavisi sırasında bildirilmiştir. Bu reaksiyonlar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reversibl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olup ilaç kesilince kaybolurlar ve duyarlılık reaksiyonları olarak kabul edilirler.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lastRenderedPageBreak/>
        <w:t>Bağışıklık sistemi hastalıkları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Anaflaktoid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reaksiyon ve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anaflaktik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şok meydana gelebilir.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>Sinir sistemi hastalıkları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 xml:space="preserve">Nadir vakalarda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konvulsiyon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>, baş dönmesi-sersemlik ve baş ağrısı.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>Gastrointestinal hastalıklar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 xml:space="preserve">Bulantı, kusma ve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diyare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en sık görülenlerdir.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Enterokolit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psödomembranoz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kolit de görülebilir.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562">
        <w:rPr>
          <w:rFonts w:ascii="Times New Roman" w:hAnsi="Times New Roman" w:cs="Times New Roman"/>
          <w:b/>
          <w:bCs/>
          <w:sz w:val="24"/>
          <w:szCs w:val="24"/>
        </w:rPr>
        <w:t>Hepato</w:t>
      </w:r>
      <w:proofErr w:type="spellEnd"/>
      <w:r w:rsidRPr="00A93562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A93562">
        <w:rPr>
          <w:rFonts w:ascii="Times New Roman" w:hAnsi="Times New Roman" w:cs="Times New Roman"/>
          <w:b/>
          <w:bCs/>
          <w:sz w:val="24"/>
          <w:szCs w:val="24"/>
        </w:rPr>
        <w:t>bili</w:t>
      </w:r>
      <w:r w:rsidR="00D50A8C" w:rsidRPr="00A9356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A93562">
        <w:rPr>
          <w:rFonts w:ascii="Times New Roman" w:hAnsi="Times New Roman" w:cs="Times New Roman"/>
          <w:b/>
          <w:bCs/>
          <w:sz w:val="24"/>
          <w:szCs w:val="24"/>
        </w:rPr>
        <w:t>er</w:t>
      </w:r>
      <w:proofErr w:type="spellEnd"/>
      <w:r w:rsidRPr="00A93562">
        <w:rPr>
          <w:rFonts w:ascii="Times New Roman" w:hAnsi="Times New Roman" w:cs="Times New Roman"/>
          <w:b/>
          <w:bCs/>
          <w:sz w:val="24"/>
          <w:szCs w:val="24"/>
        </w:rPr>
        <w:t xml:space="preserve"> hastalıklar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562">
        <w:rPr>
          <w:rFonts w:ascii="Times New Roman" w:hAnsi="Times New Roman" w:cs="Times New Roman"/>
          <w:sz w:val="24"/>
          <w:szCs w:val="24"/>
        </w:rPr>
        <w:t>Bilirubinemi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, anormal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hepatik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fonksiyon ve sarılık gözlenmiştir.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>Deri ve deri altı doku hastalıkları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 xml:space="preserve">Deri döküntüsü, kaşıntı ve diğer deri </w:t>
      </w:r>
      <w:r w:rsidR="002B6A37" w:rsidRPr="00A93562">
        <w:rPr>
          <w:rFonts w:ascii="Times New Roman" w:hAnsi="Times New Roman" w:cs="Times New Roman"/>
          <w:sz w:val="24"/>
          <w:szCs w:val="24"/>
        </w:rPr>
        <w:t>reaksiyonları</w:t>
      </w:r>
      <w:r w:rsidRPr="00A93562">
        <w:rPr>
          <w:rFonts w:ascii="Times New Roman" w:hAnsi="Times New Roman" w:cs="Times New Roman"/>
          <w:sz w:val="24"/>
          <w:szCs w:val="24"/>
        </w:rPr>
        <w:t xml:space="preserve"> en sık görülenlerdir. Nadir vakalarda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Stevens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- Johnson </w:t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sendromu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 xml:space="preserve">, epidermal nekroliz ve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eritema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multiforme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görülmüştür</w:t>
      </w:r>
      <w:r w:rsidR="002B6A37" w:rsidRPr="00A93562">
        <w:rPr>
          <w:rFonts w:ascii="Times New Roman" w:hAnsi="Times New Roman" w:cs="Times New Roman"/>
          <w:sz w:val="24"/>
          <w:szCs w:val="24"/>
        </w:rPr>
        <w:t>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>Böbrek ve idrar hastalıkları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 xml:space="preserve">Nadir vakalarda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interstisyel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nefrit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>Araştırmalar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>Geçici ALT (SGPT) ve AST (SGOT) yükselmeleri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tek başına kullanımı ile görüle</w:t>
      </w:r>
      <w:r w:rsidR="002B6A37" w:rsidRPr="00A93562">
        <w:rPr>
          <w:rFonts w:ascii="Times New Roman" w:hAnsi="Times New Roman" w:cs="Times New Roman"/>
          <w:sz w:val="24"/>
          <w:szCs w:val="24"/>
        </w:rPr>
        <w:t xml:space="preserve">n yan etkiler, </w:t>
      </w:r>
      <w:proofErr w:type="spellStart"/>
      <w:r w:rsidR="002B6A37" w:rsidRPr="00A9356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="002B6A37" w:rsidRPr="00A93562">
        <w:rPr>
          <w:rFonts w:ascii="Times New Roman" w:hAnsi="Times New Roman" w:cs="Times New Roman"/>
          <w:sz w:val="24"/>
          <w:szCs w:val="24"/>
        </w:rPr>
        <w:t xml:space="preserve"> sodyum/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sodyum İM ile gözlenebilir.</w:t>
      </w:r>
    </w:p>
    <w:p w:rsidR="00971288" w:rsidRPr="00A93562" w:rsidRDefault="00971288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215" w:rsidRPr="00A93562" w:rsidRDefault="00A84215" w:rsidP="00A84215">
      <w:p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eastAsia="nl-NL"/>
        </w:rPr>
      </w:pPr>
      <w:r w:rsidRPr="00A93562">
        <w:rPr>
          <w:rFonts w:ascii="Times New Roman" w:hAnsi="Times New Roman" w:hint="eastAsia"/>
          <w:sz w:val="24"/>
          <w:szCs w:val="24"/>
          <w:u w:val="single"/>
          <w:lang w:eastAsia="nl-NL"/>
        </w:rPr>
        <w:t>Ş</w:t>
      </w:r>
      <w:r w:rsidRPr="00A93562">
        <w:rPr>
          <w:rFonts w:ascii="Times New Roman" w:hAnsi="Times New Roman"/>
          <w:sz w:val="24"/>
          <w:szCs w:val="24"/>
          <w:u w:val="single"/>
          <w:lang w:eastAsia="nl-NL"/>
        </w:rPr>
        <w:t xml:space="preserve">üpheli </w:t>
      </w:r>
      <w:proofErr w:type="spellStart"/>
      <w:r w:rsidRPr="00A93562">
        <w:rPr>
          <w:rFonts w:ascii="Times New Roman" w:hAnsi="Times New Roman"/>
          <w:sz w:val="24"/>
          <w:szCs w:val="24"/>
          <w:u w:val="single"/>
          <w:lang w:eastAsia="nl-NL"/>
        </w:rPr>
        <w:t>advers</w:t>
      </w:r>
      <w:proofErr w:type="spellEnd"/>
      <w:r w:rsidRPr="00A93562">
        <w:rPr>
          <w:rFonts w:ascii="Times New Roman" w:hAnsi="Times New Roman"/>
          <w:sz w:val="24"/>
          <w:szCs w:val="24"/>
          <w:u w:val="single"/>
          <w:lang w:eastAsia="nl-NL"/>
        </w:rPr>
        <w:t xml:space="preserve"> reaksiyonlar</w:t>
      </w:r>
      <w:r w:rsidRPr="00A93562">
        <w:rPr>
          <w:rFonts w:ascii="Times New Roman" w:hAnsi="Times New Roman" w:hint="eastAsia"/>
          <w:sz w:val="24"/>
          <w:szCs w:val="24"/>
          <w:u w:val="single"/>
          <w:lang w:eastAsia="nl-NL"/>
        </w:rPr>
        <w:t>ı</w:t>
      </w:r>
      <w:r w:rsidRPr="00A93562">
        <w:rPr>
          <w:rFonts w:ascii="Times New Roman" w:hAnsi="Times New Roman"/>
          <w:sz w:val="24"/>
          <w:szCs w:val="24"/>
          <w:u w:val="single"/>
          <w:lang w:eastAsia="nl-NL"/>
        </w:rPr>
        <w:t>n raporlanmas</w:t>
      </w:r>
      <w:r w:rsidRPr="00A93562">
        <w:rPr>
          <w:rFonts w:ascii="Times New Roman" w:hAnsi="Times New Roman" w:hint="eastAsia"/>
          <w:sz w:val="24"/>
          <w:szCs w:val="24"/>
          <w:u w:val="single"/>
          <w:lang w:eastAsia="nl-NL"/>
        </w:rPr>
        <w:t>ı</w:t>
      </w:r>
    </w:p>
    <w:p w:rsidR="00A84215" w:rsidRPr="00A93562" w:rsidRDefault="00A84215" w:rsidP="00A84215">
      <w:p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nl-NL"/>
        </w:rPr>
      </w:pPr>
      <w:r w:rsidRPr="00A93562">
        <w:rPr>
          <w:rFonts w:ascii="Times New Roman" w:hAnsi="Times New Roman"/>
          <w:sz w:val="24"/>
          <w:szCs w:val="24"/>
          <w:lang w:eastAsia="nl-NL"/>
        </w:rPr>
        <w:t>Ruhsatland</w:t>
      </w:r>
      <w:r w:rsidRPr="00A93562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A93562">
        <w:rPr>
          <w:rFonts w:ascii="Times New Roman" w:hAnsi="Times New Roman"/>
          <w:sz w:val="24"/>
          <w:szCs w:val="24"/>
          <w:lang w:eastAsia="nl-NL"/>
        </w:rPr>
        <w:t>rma sonras</w:t>
      </w:r>
      <w:r w:rsidRPr="00A93562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A93562">
        <w:rPr>
          <w:rFonts w:ascii="Times New Roman" w:hAnsi="Times New Roman"/>
          <w:sz w:val="24"/>
          <w:szCs w:val="24"/>
          <w:lang w:eastAsia="nl-NL"/>
        </w:rPr>
        <w:t xml:space="preserve"> </w:t>
      </w:r>
      <w:r w:rsidRPr="00A93562">
        <w:rPr>
          <w:rFonts w:ascii="Times New Roman" w:hAnsi="Times New Roman" w:hint="eastAsia"/>
          <w:sz w:val="24"/>
          <w:szCs w:val="24"/>
          <w:lang w:eastAsia="nl-NL"/>
        </w:rPr>
        <w:t>ş</w:t>
      </w:r>
      <w:r w:rsidRPr="00A93562">
        <w:rPr>
          <w:rFonts w:ascii="Times New Roman" w:hAnsi="Times New Roman"/>
          <w:sz w:val="24"/>
          <w:szCs w:val="24"/>
          <w:lang w:eastAsia="nl-NL"/>
        </w:rPr>
        <w:t xml:space="preserve">üpheli ilaç </w:t>
      </w:r>
      <w:proofErr w:type="spellStart"/>
      <w:r w:rsidRPr="00A93562">
        <w:rPr>
          <w:rFonts w:ascii="Times New Roman" w:hAnsi="Times New Roman"/>
          <w:sz w:val="24"/>
          <w:szCs w:val="24"/>
          <w:lang w:eastAsia="nl-NL"/>
        </w:rPr>
        <w:t>advers</w:t>
      </w:r>
      <w:proofErr w:type="spellEnd"/>
      <w:r w:rsidRPr="00A93562">
        <w:rPr>
          <w:rFonts w:ascii="Times New Roman" w:hAnsi="Times New Roman"/>
          <w:sz w:val="24"/>
          <w:szCs w:val="24"/>
          <w:lang w:eastAsia="nl-NL"/>
        </w:rPr>
        <w:t xml:space="preserve"> reaksiyonlar</w:t>
      </w:r>
      <w:r w:rsidRPr="00A93562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A93562">
        <w:rPr>
          <w:rFonts w:ascii="Times New Roman" w:hAnsi="Times New Roman"/>
          <w:sz w:val="24"/>
          <w:szCs w:val="24"/>
          <w:lang w:eastAsia="nl-NL"/>
        </w:rPr>
        <w:t>n</w:t>
      </w:r>
      <w:r w:rsidRPr="00A93562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A93562">
        <w:rPr>
          <w:rFonts w:ascii="Times New Roman" w:hAnsi="Times New Roman"/>
          <w:sz w:val="24"/>
          <w:szCs w:val="24"/>
          <w:lang w:eastAsia="nl-NL"/>
        </w:rPr>
        <w:t>n raporlanmas</w:t>
      </w:r>
      <w:r w:rsidRPr="00A93562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A93562">
        <w:rPr>
          <w:rFonts w:ascii="Times New Roman" w:hAnsi="Times New Roman"/>
          <w:sz w:val="24"/>
          <w:szCs w:val="24"/>
          <w:lang w:eastAsia="nl-NL"/>
        </w:rPr>
        <w:t xml:space="preserve"> büyük önem ta</w:t>
      </w:r>
      <w:r w:rsidRPr="00A93562">
        <w:rPr>
          <w:rFonts w:ascii="Times New Roman" w:hAnsi="Times New Roman" w:hint="eastAsia"/>
          <w:sz w:val="24"/>
          <w:szCs w:val="24"/>
          <w:lang w:eastAsia="nl-NL"/>
        </w:rPr>
        <w:t>şı</w:t>
      </w:r>
      <w:r w:rsidRPr="00A93562">
        <w:rPr>
          <w:rFonts w:ascii="Times New Roman" w:hAnsi="Times New Roman"/>
          <w:sz w:val="24"/>
          <w:szCs w:val="24"/>
          <w:lang w:eastAsia="nl-NL"/>
        </w:rPr>
        <w:t>maktad</w:t>
      </w:r>
      <w:r w:rsidRPr="00A93562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A93562">
        <w:rPr>
          <w:rFonts w:ascii="Times New Roman" w:hAnsi="Times New Roman"/>
          <w:sz w:val="24"/>
          <w:szCs w:val="24"/>
          <w:lang w:eastAsia="nl-NL"/>
        </w:rPr>
        <w:t>r. Raporlama yap</w:t>
      </w:r>
      <w:r w:rsidRPr="00A93562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A93562">
        <w:rPr>
          <w:rFonts w:ascii="Times New Roman" w:hAnsi="Times New Roman"/>
          <w:sz w:val="24"/>
          <w:szCs w:val="24"/>
          <w:lang w:eastAsia="nl-NL"/>
        </w:rPr>
        <w:t>lmas</w:t>
      </w:r>
      <w:r w:rsidRPr="00A93562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A93562">
        <w:rPr>
          <w:rFonts w:ascii="Times New Roman" w:hAnsi="Times New Roman"/>
          <w:sz w:val="24"/>
          <w:szCs w:val="24"/>
          <w:lang w:eastAsia="nl-NL"/>
        </w:rPr>
        <w:t>, ilac</w:t>
      </w:r>
      <w:r w:rsidRPr="00A93562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A93562">
        <w:rPr>
          <w:rFonts w:ascii="Times New Roman" w:hAnsi="Times New Roman"/>
          <w:sz w:val="24"/>
          <w:szCs w:val="24"/>
          <w:lang w:eastAsia="nl-NL"/>
        </w:rPr>
        <w:t>n yarar/risk dengesinin sürekli olarak izlenmesine olanak sa</w:t>
      </w:r>
      <w:r w:rsidRPr="00A93562">
        <w:rPr>
          <w:rFonts w:ascii="Times New Roman" w:hAnsi="Times New Roman" w:hint="eastAsia"/>
          <w:sz w:val="24"/>
          <w:szCs w:val="24"/>
          <w:lang w:eastAsia="nl-NL"/>
        </w:rPr>
        <w:t>ğ</w:t>
      </w:r>
      <w:r w:rsidRPr="00A93562">
        <w:rPr>
          <w:rFonts w:ascii="Times New Roman" w:hAnsi="Times New Roman"/>
          <w:sz w:val="24"/>
          <w:szCs w:val="24"/>
          <w:lang w:eastAsia="nl-NL"/>
        </w:rPr>
        <w:t>lar. Sa</w:t>
      </w:r>
      <w:r w:rsidRPr="00A93562">
        <w:rPr>
          <w:rFonts w:ascii="Times New Roman" w:hAnsi="Times New Roman" w:hint="eastAsia"/>
          <w:sz w:val="24"/>
          <w:szCs w:val="24"/>
          <w:lang w:eastAsia="nl-NL"/>
        </w:rPr>
        <w:t>ğ</w:t>
      </w:r>
      <w:r w:rsidRPr="00A93562">
        <w:rPr>
          <w:rFonts w:ascii="Times New Roman" w:hAnsi="Times New Roman"/>
          <w:sz w:val="24"/>
          <w:szCs w:val="24"/>
          <w:lang w:eastAsia="nl-NL"/>
        </w:rPr>
        <w:t>l</w:t>
      </w:r>
      <w:r w:rsidRPr="00A93562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A93562">
        <w:rPr>
          <w:rFonts w:ascii="Times New Roman" w:hAnsi="Times New Roman"/>
          <w:sz w:val="24"/>
          <w:szCs w:val="24"/>
          <w:lang w:eastAsia="nl-NL"/>
        </w:rPr>
        <w:t>k mesle</w:t>
      </w:r>
      <w:r w:rsidRPr="00A93562">
        <w:rPr>
          <w:rFonts w:ascii="Times New Roman" w:hAnsi="Times New Roman" w:hint="eastAsia"/>
          <w:sz w:val="24"/>
          <w:szCs w:val="24"/>
          <w:lang w:eastAsia="nl-NL"/>
        </w:rPr>
        <w:t>ğ</w:t>
      </w:r>
      <w:r w:rsidRPr="00A93562">
        <w:rPr>
          <w:rFonts w:ascii="Times New Roman" w:hAnsi="Times New Roman"/>
          <w:sz w:val="24"/>
          <w:szCs w:val="24"/>
          <w:lang w:eastAsia="nl-NL"/>
        </w:rPr>
        <w:t>i mensuplar</w:t>
      </w:r>
      <w:r w:rsidRPr="00A93562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A93562">
        <w:rPr>
          <w:rFonts w:ascii="Times New Roman" w:hAnsi="Times New Roman"/>
          <w:sz w:val="24"/>
          <w:szCs w:val="24"/>
          <w:lang w:eastAsia="nl-NL"/>
        </w:rPr>
        <w:t>n</w:t>
      </w:r>
      <w:r w:rsidRPr="00A93562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A93562">
        <w:rPr>
          <w:rFonts w:ascii="Times New Roman" w:hAnsi="Times New Roman"/>
          <w:sz w:val="24"/>
          <w:szCs w:val="24"/>
          <w:lang w:eastAsia="nl-NL"/>
        </w:rPr>
        <w:t xml:space="preserve">n herhangi bir </w:t>
      </w:r>
      <w:r w:rsidRPr="00A93562">
        <w:rPr>
          <w:rFonts w:ascii="Times New Roman" w:hAnsi="Times New Roman" w:hint="eastAsia"/>
          <w:sz w:val="24"/>
          <w:szCs w:val="24"/>
          <w:lang w:eastAsia="nl-NL"/>
        </w:rPr>
        <w:t>şü</w:t>
      </w:r>
      <w:r w:rsidRPr="00A93562">
        <w:rPr>
          <w:rFonts w:ascii="Times New Roman" w:hAnsi="Times New Roman"/>
          <w:sz w:val="24"/>
          <w:szCs w:val="24"/>
          <w:lang w:eastAsia="nl-NL"/>
        </w:rPr>
        <w:t xml:space="preserve">pheli </w:t>
      </w:r>
      <w:proofErr w:type="spellStart"/>
      <w:r w:rsidRPr="00A93562">
        <w:rPr>
          <w:rFonts w:ascii="Times New Roman" w:hAnsi="Times New Roman"/>
          <w:sz w:val="24"/>
          <w:szCs w:val="24"/>
          <w:lang w:eastAsia="nl-NL"/>
        </w:rPr>
        <w:t>advers</w:t>
      </w:r>
      <w:proofErr w:type="spellEnd"/>
      <w:r w:rsidRPr="00A93562">
        <w:rPr>
          <w:rFonts w:ascii="Times New Roman" w:hAnsi="Times New Roman"/>
          <w:sz w:val="24"/>
          <w:szCs w:val="24"/>
          <w:lang w:eastAsia="nl-NL"/>
        </w:rPr>
        <w:t xml:space="preserve"> reaksiyonu Türkiye </w:t>
      </w:r>
      <w:proofErr w:type="spellStart"/>
      <w:r w:rsidRPr="00A93562">
        <w:rPr>
          <w:rFonts w:ascii="Times New Roman" w:hAnsi="Times New Roman"/>
          <w:sz w:val="24"/>
          <w:szCs w:val="24"/>
          <w:lang w:eastAsia="nl-NL"/>
        </w:rPr>
        <w:t>Farmakovijilans</w:t>
      </w:r>
      <w:proofErr w:type="spellEnd"/>
      <w:r w:rsidRPr="00A93562">
        <w:rPr>
          <w:rFonts w:ascii="Times New Roman" w:hAnsi="Times New Roman"/>
          <w:sz w:val="24"/>
          <w:szCs w:val="24"/>
          <w:lang w:eastAsia="nl-NL"/>
        </w:rPr>
        <w:t xml:space="preserve"> Merkezi (TÜFAM)'ne bildirmeleri gerekmektedir. (</w:t>
      </w:r>
      <w:r w:rsidRPr="00A93562">
        <w:rPr>
          <w:rFonts w:ascii="Times New Roman" w:hAnsi="Times New Roman"/>
          <w:sz w:val="24"/>
          <w:szCs w:val="24"/>
          <w:u w:val="single"/>
          <w:lang w:eastAsia="nl-NL"/>
        </w:rPr>
        <w:t>www.</w:t>
      </w:r>
      <w:proofErr w:type="spellStart"/>
      <w:r w:rsidRPr="00A93562">
        <w:rPr>
          <w:rFonts w:ascii="Times New Roman" w:hAnsi="Times New Roman"/>
          <w:sz w:val="24"/>
          <w:szCs w:val="24"/>
          <w:u w:val="single"/>
          <w:lang w:eastAsia="nl-NL"/>
        </w:rPr>
        <w:t>titck</w:t>
      </w:r>
      <w:proofErr w:type="spellEnd"/>
      <w:r w:rsidRPr="00A93562">
        <w:rPr>
          <w:rFonts w:ascii="Times New Roman" w:hAnsi="Times New Roman"/>
          <w:sz w:val="24"/>
          <w:szCs w:val="24"/>
          <w:u w:val="single"/>
          <w:lang w:eastAsia="nl-NL"/>
        </w:rPr>
        <w:t>.gov.tr</w:t>
      </w:r>
      <w:r w:rsidRPr="00A93562">
        <w:rPr>
          <w:rFonts w:ascii="Times New Roman" w:hAnsi="Times New Roman"/>
          <w:sz w:val="24"/>
          <w:szCs w:val="24"/>
          <w:lang w:eastAsia="nl-NL"/>
        </w:rPr>
        <w:t xml:space="preserve">;          </w:t>
      </w:r>
      <w:r w:rsidR="006A4E16" w:rsidRPr="00A93562">
        <w:rPr>
          <w:rFonts w:ascii="Times New Roman" w:hAnsi="Times New Roman"/>
          <w:sz w:val="24"/>
          <w:szCs w:val="24"/>
          <w:lang w:eastAsia="nl-NL"/>
        </w:rPr>
        <w:t xml:space="preserve">     </w:t>
      </w:r>
      <w:r w:rsidRPr="00A93562">
        <w:rPr>
          <w:rFonts w:ascii="Times New Roman" w:hAnsi="Times New Roman"/>
          <w:sz w:val="24"/>
          <w:szCs w:val="24"/>
          <w:lang w:eastAsia="nl-NL"/>
        </w:rPr>
        <w:t xml:space="preserve">e-posta: </w:t>
      </w:r>
      <w:proofErr w:type="spellStart"/>
      <w:r w:rsidRPr="00A93562">
        <w:rPr>
          <w:rFonts w:ascii="Times New Roman" w:hAnsi="Times New Roman"/>
          <w:sz w:val="24"/>
          <w:szCs w:val="24"/>
          <w:u w:val="single"/>
          <w:lang w:eastAsia="nl-NL"/>
        </w:rPr>
        <w:t>tufam</w:t>
      </w:r>
      <w:proofErr w:type="spellEnd"/>
      <w:r w:rsidRPr="00A93562">
        <w:rPr>
          <w:rFonts w:ascii="Times New Roman" w:hAnsi="Times New Roman"/>
          <w:sz w:val="24"/>
          <w:szCs w:val="24"/>
          <w:u w:val="single"/>
          <w:lang w:eastAsia="nl-NL"/>
        </w:rPr>
        <w:t>@</w:t>
      </w:r>
      <w:proofErr w:type="spellStart"/>
      <w:r w:rsidRPr="00A93562">
        <w:rPr>
          <w:rFonts w:ascii="Times New Roman" w:hAnsi="Times New Roman"/>
          <w:sz w:val="24"/>
          <w:szCs w:val="24"/>
          <w:u w:val="single"/>
          <w:lang w:eastAsia="nl-NL"/>
        </w:rPr>
        <w:t>titck</w:t>
      </w:r>
      <w:proofErr w:type="spellEnd"/>
      <w:r w:rsidRPr="00A93562">
        <w:rPr>
          <w:rFonts w:ascii="Times New Roman" w:hAnsi="Times New Roman"/>
          <w:sz w:val="24"/>
          <w:szCs w:val="24"/>
          <w:u w:val="single"/>
          <w:lang w:eastAsia="nl-NL"/>
        </w:rPr>
        <w:t>.gov.tr</w:t>
      </w:r>
      <w:r w:rsidRPr="00A93562">
        <w:rPr>
          <w:rFonts w:ascii="Times New Roman" w:hAnsi="Times New Roman"/>
          <w:sz w:val="24"/>
          <w:szCs w:val="24"/>
          <w:lang w:eastAsia="nl-NL"/>
        </w:rPr>
        <w:t>; tel: 0 800 314 00 08; faks: 0 312 218 35 99)</w:t>
      </w:r>
    </w:p>
    <w:p w:rsidR="00A84215" w:rsidRPr="00A93562" w:rsidRDefault="00A84215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>4.9.Doz aşımı ve tedavisi</w:t>
      </w:r>
    </w:p>
    <w:p w:rsidR="00A84215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sodyum ve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sodyumun insanlarda akut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toksisitesi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üzerine sınırlı bilgi mevcuttur. İlacın aşırı doz kullanımında, temel olarak ilaç ile ilgili yan etkilerin uzantısı olan belirtiler meydana getireceği beklenmektedir. </w:t>
      </w:r>
      <w:r w:rsidR="005961F9" w:rsidRPr="00A93562">
        <w:rPr>
          <w:rFonts w:ascii="Times New Roman" w:hAnsi="Times New Roman" w:cs="Times New Roman"/>
          <w:sz w:val="24"/>
          <w:szCs w:val="24"/>
        </w:rPr>
        <w:t>ß-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Laktam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antibiyotiklerin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BOS'da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yüksek konsantrasyonda bulunmasının, nöbet </w:t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 xml:space="preserve"> olmak üzere nörolojik etkilere yol açabileceği gerçeği göz önünde tutulmalıdır.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her ikisi de dolaşımdan hemodiyaliz ile uzaklaştırıldığından, doz aşımı böbrek fonksiyon bozukluğu olan hastalarda meydana gelirse, bu </w:t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prosedürler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 xml:space="preserve"> ilacın vücuttan eliminasyonunu kolaylaştırabilir.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 w:rsidR="00971288" w:rsidRPr="00A935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3562">
        <w:rPr>
          <w:rFonts w:ascii="Times New Roman" w:hAnsi="Times New Roman" w:cs="Times New Roman"/>
          <w:b/>
          <w:bCs/>
          <w:sz w:val="24"/>
          <w:szCs w:val="24"/>
        </w:rPr>
        <w:t>FARMAKOLOJİK ÖZELLİKLER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>5.1.Farmakodinamik özellikler</w:t>
      </w:r>
    </w:p>
    <w:p w:rsidR="002B6A3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 xml:space="preserve">Farmakoterapötik grup: Sistemik Kullanılan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Antibakteriyeller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ATCkodu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>:J01CR04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>Hücreden arındı</w:t>
      </w:r>
      <w:r w:rsidR="002B6A37" w:rsidRPr="00A93562">
        <w:rPr>
          <w:rFonts w:ascii="Times New Roman" w:hAnsi="Times New Roman" w:cs="Times New Roman"/>
          <w:sz w:val="24"/>
          <w:szCs w:val="24"/>
        </w:rPr>
        <w:t>rı</w:t>
      </w:r>
      <w:r w:rsidRPr="00A93562">
        <w:rPr>
          <w:rFonts w:ascii="Times New Roman" w:hAnsi="Times New Roman" w:cs="Times New Roman"/>
          <w:sz w:val="24"/>
          <w:szCs w:val="24"/>
        </w:rPr>
        <w:t xml:space="preserve">lmış bakteriyel sistemlerle yapılan biyokimyasal çalışmalarda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sulbaktamın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>, penisiline dirençli organizmalarda oluşan çeşitli önemli beta-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laktamaz</w:t>
      </w:r>
      <w:r w:rsidR="00971288" w:rsidRPr="00A93562">
        <w:rPr>
          <w:rFonts w:ascii="Times New Roman" w:hAnsi="Times New Roman" w:cs="Times New Roman"/>
          <w:sz w:val="24"/>
          <w:szCs w:val="24"/>
        </w:rPr>
        <w:t>ların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irreversibl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inhibitörü olduğu gösterilmiştir.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sadece </w:t>
      </w:r>
      <w:proofErr w:type="spellStart"/>
      <w:r w:rsidRPr="00A93562">
        <w:rPr>
          <w:rFonts w:ascii="Times New Roman" w:hAnsi="Times New Roman" w:cs="Times New Roman"/>
          <w:i/>
          <w:iCs/>
          <w:sz w:val="24"/>
          <w:szCs w:val="24"/>
        </w:rPr>
        <w:t>Neisseriaceae'ye</w:t>
      </w:r>
      <w:proofErr w:type="spellEnd"/>
      <w:r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93562">
        <w:rPr>
          <w:rFonts w:ascii="Times New Roman" w:hAnsi="Times New Roman" w:cs="Times New Roman"/>
          <w:sz w:val="24"/>
          <w:szCs w:val="24"/>
        </w:rPr>
        <w:t xml:space="preserve">karşı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antibakteriyel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aktivite gösterir.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sodyum'un penisilinlerin ve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sefalosporinlerin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tahrip edilmesini önleyici gücü, dirençli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suşlar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kullanılarak yapılan çalışmalarla kanıtlanmıştır. Bu çalışmalarda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sodyum, penisilinlerle ve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sefalosporinlerle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beraber verildiğinde belirgin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sinerjik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etki göstermiştir.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aynı zamanda bazı penisilin bağlayıcı proteinlere bağlandığından, bazı hassas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suşlar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>, tek başına beta-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laktam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antibiyotiğe göre </w:t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kombinasyona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 xml:space="preserve"> daha duyarlı kılınmışlardır.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 xml:space="preserve">Bu </w:t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kombinasyondaki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bakterisid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eleman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ampisilin'dir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ki,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benzil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penisilin gibi, hücre duva</w:t>
      </w:r>
      <w:r w:rsidR="002B6A37" w:rsidRPr="00A93562">
        <w:rPr>
          <w:rFonts w:ascii="Times New Roman" w:hAnsi="Times New Roman" w:cs="Times New Roman"/>
          <w:sz w:val="24"/>
          <w:szCs w:val="24"/>
        </w:rPr>
        <w:t>rı</w:t>
      </w:r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biyosentezini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inhibe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ederek, aktif çoğalma döneminde bulunan duyarlı organizmalara karşı etkili olur.</w:t>
      </w:r>
    </w:p>
    <w:p w:rsidR="00D30447" w:rsidRPr="00A93562" w:rsidRDefault="002B6A3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>DEVASİD</w:t>
      </w:r>
      <w:r w:rsidR="00D30447" w:rsidRPr="00A93562">
        <w:rPr>
          <w:rFonts w:ascii="Times New Roman" w:hAnsi="Times New Roman" w:cs="Times New Roman"/>
          <w:sz w:val="24"/>
          <w:szCs w:val="24"/>
        </w:rPr>
        <w:t xml:space="preserve"> aşağıdakiler </w:t>
      </w:r>
      <w:proofErr w:type="gramStart"/>
      <w:r w:rsidR="00D30447" w:rsidRPr="00A9356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olmak üzere geniş bir spektrumdaki gram-pozitif ve gram-negatif bakterilere etkilidir: </w:t>
      </w:r>
      <w:proofErr w:type="spellStart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proofErr w:type="spellEnd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>aureus</w:t>
      </w:r>
      <w:proofErr w:type="spellEnd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0447" w:rsidRPr="00A93562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>epidermidis</w:t>
      </w:r>
      <w:proofErr w:type="spellEnd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0447" w:rsidRPr="00A93562">
        <w:rPr>
          <w:rFonts w:ascii="Times New Roman" w:hAnsi="Times New Roman" w:cs="Times New Roman"/>
          <w:sz w:val="24"/>
          <w:szCs w:val="24"/>
        </w:rPr>
        <w:t xml:space="preserve">(penisiline dirençli ve bazı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metisiline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dirençli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suşlar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dahil); </w:t>
      </w:r>
      <w:proofErr w:type="spellStart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>Streptococcus</w:t>
      </w:r>
      <w:proofErr w:type="spellEnd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>pneumoniae</w:t>
      </w:r>
      <w:proofErr w:type="spellEnd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>Streptococcus</w:t>
      </w:r>
      <w:proofErr w:type="spellEnd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>faecalis</w:t>
      </w:r>
      <w:proofErr w:type="spellEnd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0447" w:rsidRPr="00A93562">
        <w:rPr>
          <w:rFonts w:ascii="Times New Roman" w:hAnsi="Times New Roman" w:cs="Times New Roman"/>
          <w:sz w:val="24"/>
          <w:szCs w:val="24"/>
        </w:rPr>
        <w:t xml:space="preserve">ve diğer streptokok türleri; </w:t>
      </w:r>
      <w:proofErr w:type="spellStart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>Haemophüus</w:t>
      </w:r>
      <w:proofErr w:type="spellEnd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>influenzae</w:t>
      </w:r>
      <w:proofErr w:type="spellEnd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0447" w:rsidRPr="00A93562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>parainfluenzae</w:t>
      </w:r>
      <w:proofErr w:type="spellEnd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0447" w:rsidRPr="00A93562">
        <w:rPr>
          <w:rFonts w:ascii="Times New Roman" w:hAnsi="Times New Roman" w:cs="Times New Roman"/>
          <w:sz w:val="24"/>
          <w:szCs w:val="24"/>
        </w:rPr>
        <w:t>(hem beta-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laktamaz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pozitif hem de negatif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suşlar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>Branhamella</w:t>
      </w:r>
      <w:proofErr w:type="spellEnd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>catarrhalis</w:t>
      </w:r>
      <w:proofErr w:type="spellEnd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>Ba</w:t>
      </w:r>
      <w:r w:rsidRPr="00A93562">
        <w:rPr>
          <w:rFonts w:ascii="Times New Roman" w:hAnsi="Times New Roman" w:cs="Times New Roman"/>
          <w:i/>
          <w:iCs/>
          <w:sz w:val="24"/>
          <w:szCs w:val="24"/>
        </w:rPr>
        <w:t>cteroides</w:t>
      </w:r>
      <w:proofErr w:type="spellEnd"/>
      <w:r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i/>
          <w:iCs/>
          <w:sz w:val="24"/>
          <w:szCs w:val="24"/>
        </w:rPr>
        <w:t>fragil</w:t>
      </w:r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0447" w:rsidRPr="00A93562">
        <w:rPr>
          <w:rFonts w:ascii="Times New Roman" w:hAnsi="Times New Roman" w:cs="Times New Roman"/>
          <w:sz w:val="24"/>
          <w:szCs w:val="24"/>
        </w:rPr>
        <w:t xml:space="preserve">ve bununla ilgili türler dahil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anaeroblar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>Escherichia</w:t>
      </w:r>
      <w:proofErr w:type="spellEnd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>coli</w:t>
      </w:r>
      <w:proofErr w:type="spellEnd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>Klebsiella</w:t>
      </w:r>
      <w:proofErr w:type="spellEnd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0447" w:rsidRPr="00A93562">
        <w:rPr>
          <w:rFonts w:ascii="Times New Roman" w:hAnsi="Times New Roman" w:cs="Times New Roman"/>
          <w:sz w:val="24"/>
          <w:szCs w:val="24"/>
        </w:rPr>
        <w:t xml:space="preserve">türleri, </w:t>
      </w:r>
      <w:proofErr w:type="spellStart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>Proteus</w:t>
      </w:r>
      <w:proofErr w:type="spellEnd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0447" w:rsidRPr="00A93562">
        <w:rPr>
          <w:rFonts w:ascii="Times New Roman" w:hAnsi="Times New Roman" w:cs="Times New Roman"/>
          <w:sz w:val="24"/>
          <w:szCs w:val="24"/>
        </w:rPr>
        <w:t xml:space="preserve">türleri (hem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indol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pozitif hem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indol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negatif); </w:t>
      </w:r>
      <w:proofErr w:type="spellStart"/>
      <w:r w:rsidRPr="00A93562">
        <w:rPr>
          <w:rFonts w:ascii="Times New Roman" w:hAnsi="Times New Roman" w:cs="Times New Roman"/>
          <w:i/>
          <w:iCs/>
          <w:sz w:val="24"/>
          <w:szCs w:val="24"/>
        </w:rPr>
        <w:t>Morganella</w:t>
      </w:r>
      <w:proofErr w:type="spellEnd"/>
      <w:r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i/>
          <w:iCs/>
          <w:sz w:val="24"/>
          <w:szCs w:val="24"/>
        </w:rPr>
        <w:t>morganii</w:t>
      </w:r>
      <w:proofErr w:type="spellEnd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>Citrobacter</w:t>
      </w:r>
      <w:proofErr w:type="spellEnd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0447" w:rsidRPr="00A93562">
        <w:rPr>
          <w:rFonts w:ascii="Times New Roman" w:hAnsi="Times New Roman" w:cs="Times New Roman"/>
          <w:sz w:val="24"/>
          <w:szCs w:val="24"/>
        </w:rPr>
        <w:t xml:space="preserve">türleri; </w:t>
      </w:r>
      <w:proofErr w:type="spellStart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>Enterobacter</w:t>
      </w:r>
      <w:proofErr w:type="spellEnd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0447" w:rsidRPr="00A93562">
        <w:rPr>
          <w:rFonts w:ascii="Times New Roman" w:hAnsi="Times New Roman" w:cs="Times New Roman"/>
          <w:sz w:val="24"/>
          <w:szCs w:val="24"/>
        </w:rPr>
        <w:t xml:space="preserve">türleri; </w:t>
      </w:r>
      <w:proofErr w:type="spellStart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>Neisseria</w:t>
      </w:r>
      <w:proofErr w:type="spellEnd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>meningitidis</w:t>
      </w:r>
      <w:proofErr w:type="spellEnd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0447" w:rsidRPr="00A93562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>Neisseria</w:t>
      </w:r>
      <w:proofErr w:type="spellEnd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>gonorrhoeae</w:t>
      </w:r>
      <w:proofErr w:type="spellEnd"/>
      <w:r w:rsidR="00D30447" w:rsidRPr="00A9356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dirençli olduğu bilinen </w:t>
      </w:r>
      <w:proofErr w:type="spellStart"/>
      <w:r w:rsidRPr="00A93562">
        <w:rPr>
          <w:rFonts w:ascii="Times New Roman" w:hAnsi="Times New Roman" w:cs="Times New Roman"/>
          <w:i/>
          <w:iCs/>
          <w:sz w:val="24"/>
          <w:szCs w:val="24"/>
        </w:rPr>
        <w:t>Pseudomonas</w:t>
      </w:r>
      <w:proofErr w:type="spellEnd"/>
      <w:r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93562">
        <w:rPr>
          <w:rFonts w:ascii="Times New Roman" w:hAnsi="Times New Roman" w:cs="Times New Roman"/>
          <w:i/>
          <w:iCs/>
          <w:sz w:val="24"/>
          <w:szCs w:val="24"/>
        </w:rPr>
        <w:t>Citrobacter</w:t>
      </w:r>
      <w:proofErr w:type="spellEnd"/>
      <w:r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93562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Pr="00A93562">
        <w:rPr>
          <w:rFonts w:ascii="Times New Roman" w:hAnsi="Times New Roman" w:cs="Times New Roman"/>
          <w:i/>
          <w:iCs/>
          <w:sz w:val="24"/>
          <w:szCs w:val="24"/>
        </w:rPr>
        <w:t>Enterobacter</w:t>
      </w:r>
      <w:proofErr w:type="spellEnd"/>
      <w:r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93562">
        <w:rPr>
          <w:rFonts w:ascii="Times New Roman" w:hAnsi="Times New Roman" w:cs="Times New Roman"/>
          <w:sz w:val="24"/>
          <w:szCs w:val="24"/>
        </w:rPr>
        <w:t xml:space="preserve">türlerinin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ampisiline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duyarlı olmadığı dikkate alınmalıdır.</w:t>
      </w:r>
    </w:p>
    <w:p w:rsidR="00971288" w:rsidRPr="00A93562" w:rsidRDefault="00971288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>5.2.</w:t>
      </w:r>
      <w:proofErr w:type="spellStart"/>
      <w:r w:rsidRPr="00A93562">
        <w:rPr>
          <w:rFonts w:ascii="Times New Roman" w:hAnsi="Times New Roman" w:cs="Times New Roman"/>
          <w:b/>
          <w:bCs/>
          <w:sz w:val="24"/>
          <w:szCs w:val="24"/>
        </w:rPr>
        <w:t>Farmakokinetik</w:t>
      </w:r>
      <w:proofErr w:type="spellEnd"/>
      <w:r w:rsidRPr="00A93562">
        <w:rPr>
          <w:rFonts w:ascii="Times New Roman" w:hAnsi="Times New Roman" w:cs="Times New Roman"/>
          <w:b/>
          <w:bCs/>
          <w:sz w:val="24"/>
          <w:szCs w:val="24"/>
        </w:rPr>
        <w:t xml:space="preserve"> özellikler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>Genel özellikler</w:t>
      </w:r>
    </w:p>
    <w:p w:rsidR="002B6A3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sodyum, temel penisilin çekirdeğinin bir türevidir. Kimyasal olarak sodyum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penisilinat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sulfondur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. Suda çok eriyen beyazımsı kristal bir tozdur. Moleküler ağırlığı </w:t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255.22'dir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sodyum, penisilin çekirdeği olan 6-amino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penisilanik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asit'ten türemiştir. Kimyasal olarak, D (-) - </w:t>
      </w:r>
      <w:r w:rsidR="002B6A37" w:rsidRPr="00A93562">
        <w:rPr>
          <w:rFonts w:ascii="Times New Roman" w:hAnsi="Times New Roman" w:cs="Times New Roman"/>
          <w:sz w:val="24"/>
          <w:szCs w:val="24"/>
        </w:rPr>
        <w:t>α</w:t>
      </w:r>
      <w:r w:rsidRPr="00A9356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aminobenzil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penisilin sodyum tuzudur ve molekül ağırlığı </w:t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371.39'dur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>.</w:t>
      </w:r>
      <w:r w:rsidR="002B6A37" w:rsidRPr="00A93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E16" w:rsidRPr="00A93562" w:rsidRDefault="006A4E16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A4E16" w:rsidRPr="00A93562" w:rsidRDefault="006A4E16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  <w:u w:val="single"/>
        </w:rPr>
        <w:lastRenderedPageBreak/>
        <w:t>Dağılım: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insanlarda hemen bütün vücu</w:t>
      </w:r>
      <w:r w:rsidR="002B6A37" w:rsidRPr="00A93562">
        <w:rPr>
          <w:rFonts w:ascii="Times New Roman" w:hAnsi="Times New Roman" w:cs="Times New Roman"/>
          <w:sz w:val="24"/>
          <w:szCs w:val="24"/>
        </w:rPr>
        <w:t>t</w:t>
      </w:r>
      <w:r w:rsidRPr="00A93562">
        <w:rPr>
          <w:rFonts w:ascii="Times New Roman" w:hAnsi="Times New Roman" w:cs="Times New Roman"/>
          <w:sz w:val="24"/>
          <w:szCs w:val="24"/>
        </w:rPr>
        <w:t xml:space="preserve"> sıvı ve dokularına süratle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diffüze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olur.</w:t>
      </w:r>
      <w:r w:rsidR="002B6A37"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Meninkslerin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enflamasyonu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mevcut değilse beyin ve omurilik sıvı</w:t>
      </w:r>
      <w:r w:rsidR="00971288" w:rsidRPr="00A93562">
        <w:rPr>
          <w:rFonts w:ascii="Times New Roman" w:hAnsi="Times New Roman" w:cs="Times New Roman"/>
          <w:sz w:val="24"/>
          <w:szCs w:val="24"/>
        </w:rPr>
        <w:t>ların</w:t>
      </w:r>
      <w:r w:rsidRPr="00A9356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penetrasyonu</w:t>
      </w:r>
      <w:proofErr w:type="spellEnd"/>
      <w:r w:rsidR="002B6A37" w:rsidRPr="00A93562">
        <w:rPr>
          <w:rFonts w:ascii="Times New Roman" w:hAnsi="Times New Roman" w:cs="Times New Roman"/>
          <w:sz w:val="24"/>
          <w:szCs w:val="24"/>
        </w:rPr>
        <w:t xml:space="preserve"> </w:t>
      </w:r>
      <w:r w:rsidRPr="00A93562">
        <w:rPr>
          <w:rFonts w:ascii="Times New Roman" w:hAnsi="Times New Roman" w:cs="Times New Roman"/>
          <w:sz w:val="24"/>
          <w:szCs w:val="24"/>
        </w:rPr>
        <w:t>düşüktür.</w:t>
      </w:r>
    </w:p>
    <w:p w:rsidR="002B6A37" w:rsidRPr="00A93562" w:rsidRDefault="002B6A3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562">
        <w:rPr>
          <w:rFonts w:ascii="Times New Roman" w:hAnsi="Times New Roman" w:cs="Times New Roman"/>
          <w:sz w:val="24"/>
          <w:szCs w:val="24"/>
        </w:rPr>
        <w:t>İ</w:t>
      </w:r>
      <w:r w:rsidR="00D30447" w:rsidRPr="00A93562">
        <w:rPr>
          <w:rFonts w:ascii="Times New Roman" w:hAnsi="Times New Roman" w:cs="Times New Roman"/>
          <w:sz w:val="24"/>
          <w:szCs w:val="24"/>
        </w:rPr>
        <w:t>ntravenöz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intramusküler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uygulamayı takiben kanda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D30447" w:rsidRPr="00A93562">
        <w:rPr>
          <w:rFonts w:ascii="Times New Roman" w:hAnsi="Times New Roman" w:cs="Times New Roman"/>
          <w:sz w:val="24"/>
          <w:szCs w:val="24"/>
        </w:rPr>
        <w:t>ampisilinin</w:t>
      </w:r>
      <w:proofErr w:type="spell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yüksek</w:t>
      </w:r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0447" w:rsidRPr="00A93562">
        <w:rPr>
          <w:rFonts w:ascii="Times New Roman" w:hAnsi="Times New Roman" w:cs="Times New Roman"/>
          <w:sz w:val="24"/>
          <w:szCs w:val="24"/>
        </w:rPr>
        <w:t>konsantrasyonları</w:t>
      </w:r>
      <w:proofErr w:type="gramEnd"/>
      <w:r w:rsidR="00D30447" w:rsidRPr="00A93562">
        <w:rPr>
          <w:rFonts w:ascii="Times New Roman" w:hAnsi="Times New Roman" w:cs="Times New Roman"/>
          <w:sz w:val="24"/>
          <w:szCs w:val="24"/>
        </w:rPr>
        <w:t xml:space="preserve"> oluşur ve her iki maddenin de yan ömürleri takriben bir saattir.</w:t>
      </w:r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  <w:u w:val="single"/>
        </w:rPr>
        <w:t>Eliminasyon</w:t>
      </w:r>
      <w:r w:rsidRPr="00A93562">
        <w:rPr>
          <w:rFonts w:ascii="Times New Roman" w:hAnsi="Times New Roman" w:cs="Times New Roman"/>
          <w:sz w:val="24"/>
          <w:szCs w:val="24"/>
        </w:rPr>
        <w:t>: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ampisilin'in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büyük bir kısmı değişmemiş olarak idrarla atılır.</w:t>
      </w:r>
    </w:p>
    <w:p w:rsidR="00971288" w:rsidRPr="00A93562" w:rsidRDefault="00971288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>5.3.Klinik öncesi güvenlilik verileri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>LD</w:t>
      </w:r>
      <w:r w:rsidRPr="00A93562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2B6A37" w:rsidRPr="00A9356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A93562">
        <w:rPr>
          <w:rFonts w:ascii="Times New Roman" w:hAnsi="Times New Roman" w:cs="Times New Roman"/>
          <w:sz w:val="24"/>
          <w:szCs w:val="24"/>
        </w:rPr>
        <w:t xml:space="preserve"> (oral uygulama ile) hem erkek hem de dişilerde olmak üzere farelerde 8 g/kg ve sıçanlarda 4 mg/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kg'dan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daha yüksektir.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 xml:space="preserve">Sıçanlar ve köpeklerde yapılan uzun dönemli çalışmalarda, oral </w:t>
      </w:r>
      <w:r w:rsidR="002B6A37" w:rsidRPr="00A93562">
        <w:rPr>
          <w:rFonts w:ascii="Times New Roman" w:hAnsi="Times New Roman" w:cs="Times New Roman"/>
          <w:sz w:val="24"/>
          <w:szCs w:val="24"/>
        </w:rPr>
        <w:t>DEVASİD</w:t>
      </w:r>
      <w:r w:rsidRPr="00A93562">
        <w:rPr>
          <w:rFonts w:ascii="Times New Roman" w:hAnsi="Times New Roman" w:cs="Times New Roman"/>
          <w:sz w:val="24"/>
          <w:szCs w:val="24"/>
        </w:rPr>
        <w:t xml:space="preserve">, esas organlar ve sistemler ile ilgili önemli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histopatolojik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lezyonlara neden olmamıştır. Benzer şekilde, </w:t>
      </w:r>
      <w:proofErr w:type="spellStart"/>
      <w:r w:rsidR="00971288" w:rsidRPr="00A93562">
        <w:rPr>
          <w:rFonts w:ascii="Times New Roman" w:hAnsi="Times New Roman" w:cs="Times New Roman"/>
          <w:sz w:val="24"/>
          <w:szCs w:val="24"/>
        </w:rPr>
        <w:t>DEVASİD</w:t>
      </w:r>
      <w:r w:rsidR="002B6A37" w:rsidRPr="00A93562">
        <w:rPr>
          <w:rFonts w:ascii="Times New Roman" w:hAnsi="Times New Roman" w:cs="Times New Roman"/>
          <w:sz w:val="24"/>
          <w:szCs w:val="24"/>
        </w:rPr>
        <w:t>'</w:t>
      </w:r>
      <w:r w:rsidRPr="00A9356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olası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fötal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toksisitesi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teratojenik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etkinliği ve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fertilite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inihibisyonunu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değerlendirmek için yapılan testler, bu türden bir etkinlik göstermemiştir.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kombinasyonu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 xml:space="preserve"> herhangi bir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mutajenik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etkinlik göstermemiştir.</w:t>
      </w:r>
    </w:p>
    <w:p w:rsidR="00F914AD" w:rsidRPr="00A93562" w:rsidRDefault="00F914AD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4AD" w:rsidRPr="00A93562" w:rsidRDefault="00D30447" w:rsidP="00D33DD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A93562">
        <w:rPr>
          <w:rFonts w:ascii="Times New Roman" w:hAnsi="Times New Roman" w:cs="Times New Roman"/>
          <w:b/>
          <w:bCs/>
          <w:sz w:val="24"/>
          <w:szCs w:val="24"/>
        </w:rPr>
        <w:tab/>
        <w:t>FARMASÖTİK ÖZELLİKLER</w:t>
      </w:r>
    </w:p>
    <w:p w:rsidR="00D30447" w:rsidRPr="00A93562" w:rsidRDefault="00F914AD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30447" w:rsidRPr="00A93562">
        <w:rPr>
          <w:rFonts w:ascii="Times New Roman" w:hAnsi="Times New Roman" w:cs="Times New Roman"/>
          <w:b/>
          <w:bCs/>
          <w:sz w:val="24"/>
          <w:szCs w:val="24"/>
        </w:rPr>
        <w:t>.l.</w:t>
      </w:r>
      <w:r w:rsidRPr="00A935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447" w:rsidRPr="00A93562">
        <w:rPr>
          <w:rFonts w:ascii="Times New Roman" w:hAnsi="Times New Roman" w:cs="Times New Roman"/>
          <w:b/>
          <w:bCs/>
          <w:sz w:val="24"/>
          <w:szCs w:val="24"/>
        </w:rPr>
        <w:t>Yardımcı maddelerin listesi</w:t>
      </w:r>
    </w:p>
    <w:p w:rsidR="00D30447" w:rsidRPr="00A93562" w:rsidRDefault="00D44CF3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562">
        <w:rPr>
          <w:rFonts w:ascii="Times New Roman" w:hAnsi="Times New Roman" w:cs="Times New Roman"/>
          <w:sz w:val="24"/>
          <w:szCs w:val="24"/>
        </w:rPr>
        <w:t>Flakon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>:</w:t>
      </w:r>
    </w:p>
    <w:p w:rsidR="00D44CF3" w:rsidRPr="00A93562" w:rsidRDefault="00D44CF3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>Bulunmamaktadır.</w:t>
      </w:r>
    </w:p>
    <w:p w:rsidR="00D44CF3" w:rsidRPr="00A93562" w:rsidRDefault="00D44CF3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>Çözücü:</w:t>
      </w:r>
    </w:p>
    <w:p w:rsidR="00D44CF3" w:rsidRPr="00A93562" w:rsidRDefault="00D44CF3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>Enjeksiyonluk su.</w:t>
      </w:r>
    </w:p>
    <w:p w:rsidR="00F914AD" w:rsidRPr="00A93562" w:rsidRDefault="00F914AD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="00F914AD" w:rsidRPr="00A935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3562">
        <w:rPr>
          <w:rFonts w:ascii="Times New Roman" w:hAnsi="Times New Roman" w:cs="Times New Roman"/>
          <w:b/>
          <w:bCs/>
          <w:sz w:val="24"/>
          <w:szCs w:val="24"/>
        </w:rPr>
        <w:t>Geçimsizlikler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Aminoglikozidlerin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aminopenisilinlerden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herhangi birinin varlığında </w:t>
      </w:r>
      <w:r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A93562">
        <w:rPr>
          <w:rFonts w:ascii="Times New Roman" w:hAnsi="Times New Roman" w:cs="Times New Roman"/>
          <w:i/>
          <w:iCs/>
          <w:sz w:val="24"/>
          <w:szCs w:val="24"/>
        </w:rPr>
        <w:t>vitro</w:t>
      </w:r>
      <w:proofErr w:type="spellEnd"/>
      <w:r w:rsidRPr="00A935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inaktivasyonu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nedeniyle,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sodyum/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sodyum ve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aminoglikozidler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ay</w:t>
      </w:r>
      <w:r w:rsidR="002B6A37" w:rsidRPr="00A93562">
        <w:rPr>
          <w:rFonts w:ascii="Times New Roman" w:hAnsi="Times New Roman" w:cs="Times New Roman"/>
          <w:sz w:val="24"/>
          <w:szCs w:val="24"/>
        </w:rPr>
        <w:t>rı</w:t>
      </w:r>
      <w:r w:rsidRPr="00A93562">
        <w:rPr>
          <w:rFonts w:ascii="Times New Roman" w:hAnsi="Times New Roman" w:cs="Times New Roman"/>
          <w:sz w:val="24"/>
          <w:szCs w:val="24"/>
        </w:rPr>
        <w:t xml:space="preserve"> olarak sulandırılmak ve ayrı olarak uygulanmalıdırlar.</w:t>
      </w:r>
    </w:p>
    <w:p w:rsidR="00F914AD" w:rsidRPr="00A93562" w:rsidRDefault="00F914AD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>6.3.Raf ömrü</w:t>
      </w:r>
    </w:p>
    <w:p w:rsidR="00D30447" w:rsidRPr="00A93562" w:rsidRDefault="00297DEB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Cs/>
          <w:sz w:val="24"/>
          <w:szCs w:val="24"/>
        </w:rPr>
        <w:t>36</w:t>
      </w:r>
      <w:r w:rsidR="00C2230B" w:rsidRPr="00A935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0447" w:rsidRPr="00A93562">
        <w:rPr>
          <w:rFonts w:ascii="Times New Roman" w:hAnsi="Times New Roman" w:cs="Times New Roman"/>
          <w:sz w:val="24"/>
          <w:szCs w:val="24"/>
        </w:rPr>
        <w:t>ay</w:t>
      </w:r>
    </w:p>
    <w:p w:rsidR="00F914AD" w:rsidRPr="00A93562" w:rsidRDefault="00F914AD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4E16" w:rsidRPr="00A93562" w:rsidRDefault="006A4E16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4E16" w:rsidRPr="00A93562" w:rsidRDefault="006A4E16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6.4.Saklamaya yönelik özel tedbirler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A93562">
        <w:rPr>
          <w:rFonts w:ascii="Times New Roman" w:hAnsi="Times New Roman" w:cs="Times New Roman"/>
          <w:sz w:val="24"/>
          <w:szCs w:val="24"/>
        </w:rPr>
        <w:t>Flakonlar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r w:rsidR="00761480" w:rsidRPr="00A93562">
        <w:rPr>
          <w:rFonts w:ascii="Times New Roman" w:hAnsi="Times New Roman" w:cs="Times New Roman"/>
          <w:sz w:val="24"/>
          <w:szCs w:val="24"/>
        </w:rPr>
        <w:t>25</w:t>
      </w:r>
      <w:r w:rsidRPr="00A93562">
        <w:rPr>
          <w:rFonts w:ascii="Times New Roman" w:hAnsi="Times New Roman" w:cs="Times New Roman"/>
          <w:sz w:val="24"/>
          <w:szCs w:val="24"/>
        </w:rPr>
        <w:t>°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C'nin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altındaki oda sıcaklığında saklanmalıdır.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İntramusküler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uygulama için </w:t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konsantre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 xml:space="preserve"> solüsyon hazırlandıktan sonra bir saat içinde kullanılmalıdır.</w:t>
      </w:r>
    </w:p>
    <w:p w:rsidR="00F914AD" w:rsidRPr="00A93562" w:rsidRDefault="00F914AD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>6.5.Ambalajın niteliği ve içeriği</w:t>
      </w:r>
    </w:p>
    <w:p w:rsidR="00B80501" w:rsidRPr="00A93562" w:rsidRDefault="00297DEB" w:rsidP="00297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562">
        <w:rPr>
          <w:rFonts w:ascii="Times New Roman" w:hAnsi="Times New Roman" w:cs="Times New Roman"/>
          <w:sz w:val="24"/>
          <w:szCs w:val="24"/>
        </w:rPr>
        <w:t>Aluminyum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emniyet kapsülü ve kauçuk tıpa ile kapatılmış 15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ml’lik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renksiz cam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flakonlar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r w:rsidR="00B80501" w:rsidRPr="00A93562">
        <w:rPr>
          <w:rFonts w:ascii="Times New Roman" w:hAnsi="Times New Roman" w:cs="Times New Roman"/>
          <w:sz w:val="24"/>
          <w:szCs w:val="24"/>
        </w:rPr>
        <w:t xml:space="preserve">ve </w:t>
      </w:r>
    </w:p>
    <w:p w:rsidR="00297DEB" w:rsidRPr="00A93562" w:rsidRDefault="00297DEB" w:rsidP="00297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 xml:space="preserve">3,5 ml % </w:t>
      </w:r>
      <w:proofErr w:type="gramStart"/>
      <w:r w:rsidRPr="00A93562">
        <w:rPr>
          <w:rFonts w:ascii="Times New Roman" w:hAnsi="Times New Roman" w:cs="Times New Roman"/>
          <w:sz w:val="24"/>
          <w:szCs w:val="24"/>
        </w:rPr>
        <w:t>0.5’lik</w:t>
      </w:r>
      <w:proofErr w:type="gram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Lidokain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çözeltisi içeren 4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ml’lik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ampul</w:t>
      </w:r>
      <w:r w:rsidR="00B80501" w:rsidRPr="00A93562">
        <w:rPr>
          <w:rFonts w:ascii="Times New Roman" w:hAnsi="Times New Roman" w:cs="Times New Roman"/>
          <w:sz w:val="24"/>
          <w:szCs w:val="24"/>
        </w:rPr>
        <w:t>.</w:t>
      </w:r>
    </w:p>
    <w:p w:rsidR="00297DEB" w:rsidRPr="00A93562" w:rsidRDefault="00297DEB" w:rsidP="00297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 xml:space="preserve">Her bir karton kutu; şeffaf PVC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separatöre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yerleştirilmiş 1 adet </w:t>
      </w:r>
      <w:proofErr w:type="spellStart"/>
      <w:r w:rsidRPr="00A93562">
        <w:rPr>
          <w:rFonts w:ascii="Times New Roman" w:hAnsi="Times New Roman" w:cs="Times New Roman"/>
          <w:sz w:val="24"/>
          <w:szCs w:val="24"/>
        </w:rPr>
        <w:t>flakon</w:t>
      </w:r>
      <w:proofErr w:type="spellEnd"/>
      <w:r w:rsidRPr="00A93562">
        <w:rPr>
          <w:rFonts w:ascii="Times New Roman" w:hAnsi="Times New Roman" w:cs="Times New Roman"/>
          <w:sz w:val="24"/>
          <w:szCs w:val="24"/>
        </w:rPr>
        <w:t xml:space="preserve"> ve 1 adet çözücü ampul içermektedir.</w:t>
      </w:r>
    </w:p>
    <w:p w:rsidR="00F914AD" w:rsidRPr="00A93562" w:rsidRDefault="00F914AD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bCs/>
          <w:sz w:val="24"/>
          <w:szCs w:val="24"/>
        </w:rPr>
        <w:t>6.6.Beşeri tıbbi üründen arta kalan maddelerin imhası ve diğer özel önlemler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>Kullanılmamış olan ürünler ya da atık materyaller "Tıbbi atıkların kontrolü yönetmeliği" ve "Ambalaj ve Ambalaj Atıklarının Kontrolü Yönetmelikleri"ne uygun olarak imha edilmelidir.</w:t>
      </w:r>
    </w:p>
    <w:p w:rsidR="00971288" w:rsidRPr="00A93562" w:rsidRDefault="00971288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b/>
          <w:sz w:val="24"/>
          <w:szCs w:val="24"/>
        </w:rPr>
        <w:t>7</w:t>
      </w:r>
      <w:r w:rsidRPr="00A93562">
        <w:rPr>
          <w:rFonts w:ascii="Times New Roman" w:hAnsi="Times New Roman" w:cs="Times New Roman"/>
          <w:sz w:val="24"/>
          <w:szCs w:val="24"/>
        </w:rPr>
        <w:t>.</w:t>
      </w:r>
      <w:r w:rsidRPr="00A93562">
        <w:rPr>
          <w:rFonts w:ascii="Times New Roman" w:hAnsi="Times New Roman" w:cs="Times New Roman"/>
          <w:sz w:val="24"/>
          <w:szCs w:val="24"/>
        </w:rPr>
        <w:tab/>
      </w:r>
      <w:r w:rsidRPr="00A93562">
        <w:rPr>
          <w:rFonts w:ascii="Times New Roman" w:hAnsi="Times New Roman" w:cs="Times New Roman"/>
          <w:b/>
          <w:bCs/>
          <w:sz w:val="24"/>
          <w:szCs w:val="24"/>
        </w:rPr>
        <w:t>RUHSAT SAHİBİ</w:t>
      </w:r>
    </w:p>
    <w:p w:rsidR="006A041C" w:rsidRPr="00A93562" w:rsidRDefault="006A4E16" w:rsidP="006A041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93562">
        <w:rPr>
          <w:rFonts w:ascii="Times New Roman" w:eastAsia="Times New Roman" w:hAnsi="Times New Roman" w:cs="Times New Roman"/>
          <w:sz w:val="24"/>
          <w:szCs w:val="24"/>
          <w:lang w:eastAsia="tr-TR"/>
        </w:rPr>
        <w:t>DEVA HOLDİNG A.Ş.</w:t>
      </w:r>
    </w:p>
    <w:p w:rsidR="006A041C" w:rsidRPr="00A93562" w:rsidRDefault="006A041C" w:rsidP="006A041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93562">
        <w:rPr>
          <w:rFonts w:ascii="Times New Roman" w:eastAsia="Times New Roman" w:hAnsi="Times New Roman" w:cs="Times New Roman"/>
          <w:sz w:val="24"/>
          <w:szCs w:val="24"/>
          <w:lang w:eastAsia="tr-TR"/>
        </w:rPr>
        <w:t>Halkalı Merkez Mah. Basın Ekspres Cad. No: 1</w:t>
      </w:r>
    </w:p>
    <w:p w:rsidR="006A041C" w:rsidRPr="00A93562" w:rsidRDefault="00B80501" w:rsidP="006A041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93562">
        <w:rPr>
          <w:rFonts w:ascii="Times New Roman" w:eastAsia="Times New Roman" w:hAnsi="Times New Roman" w:cs="Times New Roman"/>
          <w:sz w:val="24"/>
          <w:szCs w:val="24"/>
          <w:lang w:eastAsia="tr-TR"/>
        </w:rPr>
        <w:t>34303 Küçükçekmece/İSTANBUL</w:t>
      </w:r>
    </w:p>
    <w:p w:rsidR="006A041C" w:rsidRPr="00A93562" w:rsidRDefault="006A041C" w:rsidP="006A041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935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Tel:     0212 692 92 </w:t>
      </w:r>
      <w:proofErr w:type="spellStart"/>
      <w:r w:rsidRPr="00A93562">
        <w:rPr>
          <w:rFonts w:ascii="Times New Roman" w:eastAsia="Times New Roman" w:hAnsi="Times New Roman" w:cs="Times New Roman"/>
          <w:sz w:val="24"/>
          <w:szCs w:val="24"/>
          <w:lang w:eastAsia="tr-TR"/>
        </w:rPr>
        <w:t>92</w:t>
      </w:r>
      <w:proofErr w:type="spellEnd"/>
    </w:p>
    <w:p w:rsidR="006A041C" w:rsidRPr="00A93562" w:rsidRDefault="006A041C" w:rsidP="006A041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93562">
        <w:rPr>
          <w:rFonts w:ascii="Times New Roman" w:eastAsia="Times New Roman" w:hAnsi="Times New Roman" w:cs="Times New Roman"/>
          <w:sz w:val="24"/>
          <w:szCs w:val="24"/>
          <w:lang w:eastAsia="tr-TR"/>
        </w:rPr>
        <w:t>Faks:  0212 697 00 24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914AD" w:rsidRPr="00A93562" w:rsidRDefault="00D30447" w:rsidP="00D3044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562">
        <w:rPr>
          <w:rFonts w:ascii="Times New Roman" w:hAnsi="Times New Roman" w:cs="Times New Roman"/>
          <w:b/>
          <w:sz w:val="24"/>
          <w:szCs w:val="24"/>
        </w:rPr>
        <w:t xml:space="preserve">RUHSAT NUMARASI </w:t>
      </w:r>
    </w:p>
    <w:p w:rsidR="00D30447" w:rsidRPr="00A93562" w:rsidRDefault="00F20176" w:rsidP="00F91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>202/61</w:t>
      </w:r>
    </w:p>
    <w:p w:rsidR="00971288" w:rsidRPr="00A93562" w:rsidRDefault="00971288" w:rsidP="00F91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0447" w:rsidRPr="00A93562" w:rsidRDefault="00D30447" w:rsidP="00D3044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562">
        <w:rPr>
          <w:rFonts w:ascii="Times New Roman" w:hAnsi="Times New Roman" w:cs="Times New Roman"/>
          <w:b/>
          <w:sz w:val="24"/>
          <w:szCs w:val="24"/>
        </w:rPr>
        <w:t>İLK RUHSAT TARİHİ/RUHSAT YENİLEME TARİHİ</w:t>
      </w:r>
    </w:p>
    <w:p w:rsidR="00F914AD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 xml:space="preserve">İlk ruhsat tarihi: </w:t>
      </w:r>
      <w:r w:rsidR="00F20176" w:rsidRPr="00A93562">
        <w:rPr>
          <w:rFonts w:ascii="Times New Roman" w:hAnsi="Times New Roman" w:cs="Times New Roman"/>
          <w:sz w:val="24"/>
          <w:szCs w:val="24"/>
        </w:rPr>
        <w:t>06.06.2003</w:t>
      </w:r>
    </w:p>
    <w:p w:rsidR="00D30447" w:rsidRPr="00A93562" w:rsidRDefault="00D30447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>Ruhsat yenileme tarihi:-</w:t>
      </w:r>
    </w:p>
    <w:p w:rsidR="00971288" w:rsidRPr="00A93562" w:rsidRDefault="00971288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83889" w:rsidRDefault="00383889" w:rsidP="003838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12D4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7612D4">
        <w:rPr>
          <w:rFonts w:ascii="Times New Roman" w:hAnsi="Times New Roman" w:cs="Times New Roman"/>
          <w:b/>
          <w:bCs/>
          <w:sz w:val="24"/>
          <w:szCs w:val="24"/>
        </w:rPr>
        <w:tab/>
        <w:t>KÜB'ÜN YENİLENME TARİHİ</w:t>
      </w:r>
    </w:p>
    <w:p w:rsidR="00383889" w:rsidRDefault="00383889" w:rsidP="0038388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1D6">
        <w:rPr>
          <w:rFonts w:ascii="Times New Roman" w:hAnsi="Times New Roman" w:cs="Times New Roman"/>
          <w:bCs/>
          <w:sz w:val="24"/>
          <w:szCs w:val="24"/>
        </w:rPr>
        <w:t>04.01.2013</w:t>
      </w:r>
    </w:p>
    <w:p w:rsidR="00A52074" w:rsidRPr="00A93562" w:rsidRDefault="00A52074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493" w:rsidRPr="00A93562" w:rsidRDefault="00E30493" w:rsidP="00D30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0493" w:rsidRPr="00A93562" w:rsidSect="00F20176">
      <w:footerReference w:type="default" r:id="rId7"/>
      <w:pgSz w:w="11909" w:h="16834"/>
      <w:pgMar w:top="1526" w:right="1136" w:bottom="360" w:left="1418" w:header="284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CBE" w:rsidRDefault="00A11CBE" w:rsidP="00A301D8">
      <w:pPr>
        <w:spacing w:after="0" w:line="240" w:lineRule="auto"/>
      </w:pPr>
      <w:r>
        <w:separator/>
      </w:r>
    </w:p>
  </w:endnote>
  <w:endnote w:type="continuationSeparator" w:id="0">
    <w:p w:rsidR="00A11CBE" w:rsidRDefault="00A11CBE" w:rsidP="00A3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401719"/>
      <w:docPartObj>
        <w:docPartGallery w:val="Page Numbers (Bottom of Page)"/>
        <w:docPartUnique/>
      </w:docPartObj>
    </w:sdtPr>
    <w:sdtContent>
      <w:p w:rsidR="00A301D8" w:rsidRDefault="009A405C">
        <w:pPr>
          <w:pStyle w:val="Altbilgi"/>
          <w:jc w:val="right"/>
        </w:pPr>
        <w:fldSimple w:instr=" PAGE   \* MERGEFORMAT ">
          <w:r w:rsidR="00383889">
            <w:rPr>
              <w:noProof/>
            </w:rPr>
            <w:t>10</w:t>
          </w:r>
        </w:fldSimple>
      </w:p>
    </w:sdtContent>
  </w:sdt>
  <w:p w:rsidR="00A301D8" w:rsidRDefault="00A301D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CBE" w:rsidRDefault="00A11CBE" w:rsidP="00A301D8">
      <w:pPr>
        <w:spacing w:after="0" w:line="240" w:lineRule="auto"/>
      </w:pPr>
      <w:r>
        <w:separator/>
      </w:r>
    </w:p>
  </w:footnote>
  <w:footnote w:type="continuationSeparator" w:id="0">
    <w:p w:rsidR="00A11CBE" w:rsidRDefault="00A11CBE" w:rsidP="00A30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B00C46"/>
    <w:lvl w:ilvl="0">
      <w:numFmt w:val="bullet"/>
      <w:lvlText w:val="*"/>
      <w:lvlJc w:val="left"/>
    </w:lvl>
  </w:abstractNum>
  <w:abstractNum w:abstractNumId="1">
    <w:nsid w:val="004C0430"/>
    <w:multiLevelType w:val="singleLevel"/>
    <w:tmpl w:val="A56E11D8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04363B54"/>
    <w:multiLevelType w:val="singleLevel"/>
    <w:tmpl w:val="B8AAE40C"/>
    <w:lvl w:ilvl="0">
      <w:start w:val="3"/>
      <w:numFmt w:val="decimal"/>
      <w:lvlText w:val="%1."/>
      <w:legacy w:legacy="1" w:legacySpace="0" w:legacyIndent="230"/>
      <w:lvlJc w:val="left"/>
      <w:rPr>
        <w:rFonts w:ascii="Verdana" w:hAnsi="Verdana" w:hint="default"/>
      </w:rPr>
    </w:lvl>
  </w:abstractNum>
  <w:abstractNum w:abstractNumId="3">
    <w:nsid w:val="1B525786"/>
    <w:multiLevelType w:val="singleLevel"/>
    <w:tmpl w:val="D36C9016"/>
    <w:lvl w:ilvl="0">
      <w:start w:val="8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>
    <w:nsid w:val="1E5551AF"/>
    <w:multiLevelType w:val="singleLevel"/>
    <w:tmpl w:val="0DFA9074"/>
    <w:lvl w:ilvl="0">
      <w:start w:val="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/>
      </w:rPr>
    </w:lvl>
  </w:abstractNum>
  <w:abstractNum w:abstractNumId="5">
    <w:nsid w:val="6001556E"/>
    <w:multiLevelType w:val="singleLevel"/>
    <w:tmpl w:val="E5FEDDB6"/>
    <w:lvl w:ilvl="0">
      <w:start w:val="8"/>
      <w:numFmt w:val="decimal"/>
      <w:lvlText w:val="%1."/>
      <w:legacy w:legacy="1" w:legacySpace="0" w:legacyIndent="268"/>
      <w:lvlJc w:val="left"/>
      <w:rPr>
        <w:rFonts w:ascii="Verdana" w:hAnsi="Verdana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Verdana" w:hAnsi="Verdana" w:hint="default"/>
        </w:rPr>
      </w:lvl>
    </w:lvlOverride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Verdana" w:hAnsi="Verdana" w:hint="default"/>
        </w:rPr>
      </w:lvl>
    </w:lvlOverride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D8"/>
    <w:rsid w:val="00001169"/>
    <w:rsid w:val="00022D0A"/>
    <w:rsid w:val="000358B0"/>
    <w:rsid w:val="000E2B32"/>
    <w:rsid w:val="00172DFD"/>
    <w:rsid w:val="0019348C"/>
    <w:rsid w:val="00297DEB"/>
    <w:rsid w:val="002B21F4"/>
    <w:rsid w:val="002B6A37"/>
    <w:rsid w:val="002E7401"/>
    <w:rsid w:val="00307D9E"/>
    <w:rsid w:val="003108E2"/>
    <w:rsid w:val="003669FB"/>
    <w:rsid w:val="00383889"/>
    <w:rsid w:val="003921D6"/>
    <w:rsid w:val="00397201"/>
    <w:rsid w:val="003B760E"/>
    <w:rsid w:val="00405AA8"/>
    <w:rsid w:val="00405B6B"/>
    <w:rsid w:val="00410EC3"/>
    <w:rsid w:val="00412757"/>
    <w:rsid w:val="004B6731"/>
    <w:rsid w:val="004D0DC1"/>
    <w:rsid w:val="004D43E9"/>
    <w:rsid w:val="004E6D52"/>
    <w:rsid w:val="004F54E3"/>
    <w:rsid w:val="00533F76"/>
    <w:rsid w:val="00545FF8"/>
    <w:rsid w:val="0056229B"/>
    <w:rsid w:val="00584034"/>
    <w:rsid w:val="005961F9"/>
    <w:rsid w:val="00642B49"/>
    <w:rsid w:val="00650331"/>
    <w:rsid w:val="00674FDD"/>
    <w:rsid w:val="00682288"/>
    <w:rsid w:val="006978F1"/>
    <w:rsid w:val="006A041C"/>
    <w:rsid w:val="006A4E16"/>
    <w:rsid w:val="0070763D"/>
    <w:rsid w:val="00733FE2"/>
    <w:rsid w:val="00761480"/>
    <w:rsid w:val="00762561"/>
    <w:rsid w:val="007972D3"/>
    <w:rsid w:val="007B6C43"/>
    <w:rsid w:val="007F026A"/>
    <w:rsid w:val="007F7CAE"/>
    <w:rsid w:val="008060C7"/>
    <w:rsid w:val="0088261A"/>
    <w:rsid w:val="008A1D59"/>
    <w:rsid w:val="008B3499"/>
    <w:rsid w:val="00957B40"/>
    <w:rsid w:val="00971288"/>
    <w:rsid w:val="009806D3"/>
    <w:rsid w:val="00986A6B"/>
    <w:rsid w:val="00987F00"/>
    <w:rsid w:val="009967F8"/>
    <w:rsid w:val="009A0D54"/>
    <w:rsid w:val="009A405C"/>
    <w:rsid w:val="009D5656"/>
    <w:rsid w:val="009E28E7"/>
    <w:rsid w:val="00A11CBE"/>
    <w:rsid w:val="00A301D8"/>
    <w:rsid w:val="00A52074"/>
    <w:rsid w:val="00A5707A"/>
    <w:rsid w:val="00A84215"/>
    <w:rsid w:val="00A929CF"/>
    <w:rsid w:val="00A93562"/>
    <w:rsid w:val="00AA75E0"/>
    <w:rsid w:val="00B418DB"/>
    <w:rsid w:val="00B54EF1"/>
    <w:rsid w:val="00B80501"/>
    <w:rsid w:val="00BB59BA"/>
    <w:rsid w:val="00C10CB8"/>
    <w:rsid w:val="00C21529"/>
    <w:rsid w:val="00C2230B"/>
    <w:rsid w:val="00C4215E"/>
    <w:rsid w:val="00C500E7"/>
    <w:rsid w:val="00C825CC"/>
    <w:rsid w:val="00CA2476"/>
    <w:rsid w:val="00CA33E7"/>
    <w:rsid w:val="00CA7F76"/>
    <w:rsid w:val="00CC0ACA"/>
    <w:rsid w:val="00CC3E8F"/>
    <w:rsid w:val="00CC68EC"/>
    <w:rsid w:val="00CF3A57"/>
    <w:rsid w:val="00D0433E"/>
    <w:rsid w:val="00D2250C"/>
    <w:rsid w:val="00D30447"/>
    <w:rsid w:val="00D33DD1"/>
    <w:rsid w:val="00D44114"/>
    <w:rsid w:val="00D44CF3"/>
    <w:rsid w:val="00D50A8C"/>
    <w:rsid w:val="00D64106"/>
    <w:rsid w:val="00DB79DA"/>
    <w:rsid w:val="00E30493"/>
    <w:rsid w:val="00E40CFE"/>
    <w:rsid w:val="00EE7B9A"/>
    <w:rsid w:val="00F20176"/>
    <w:rsid w:val="00F54194"/>
    <w:rsid w:val="00F65E98"/>
    <w:rsid w:val="00F76E24"/>
    <w:rsid w:val="00F914AD"/>
    <w:rsid w:val="00F933AB"/>
    <w:rsid w:val="00FA0E1A"/>
    <w:rsid w:val="00FD4462"/>
    <w:rsid w:val="00FE1EAC"/>
    <w:rsid w:val="00FE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A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30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301D8"/>
  </w:style>
  <w:style w:type="paragraph" w:styleId="Altbilgi">
    <w:name w:val="footer"/>
    <w:basedOn w:val="Normal"/>
    <w:link w:val="AltbilgiChar"/>
    <w:uiPriority w:val="99"/>
    <w:unhideWhenUsed/>
    <w:rsid w:val="00A30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01D8"/>
  </w:style>
  <w:style w:type="paragraph" w:styleId="ListeParagraf">
    <w:name w:val="List Paragraph"/>
    <w:basedOn w:val="Normal"/>
    <w:uiPriority w:val="34"/>
    <w:qFormat/>
    <w:rsid w:val="00E30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3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E2E2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2781</Words>
  <Characters>15856</Characters>
  <Application>Microsoft Office Word</Application>
  <DocSecurity>0</DocSecurity>
  <Lines>132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Deva Holding A.S.</Company>
  <LinksUpToDate>false</LinksUpToDate>
  <CharactersWithSpaces>18600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osemiz</dc:creator>
  <cp:keywords/>
  <dc:description/>
  <cp:lastModifiedBy>omumcuoglu</cp:lastModifiedBy>
  <cp:revision>18</cp:revision>
  <cp:lastPrinted>2012-12-13T07:05:00Z</cp:lastPrinted>
  <dcterms:created xsi:type="dcterms:W3CDTF">2011-08-11T11:40:00Z</dcterms:created>
  <dcterms:modified xsi:type="dcterms:W3CDTF">2014-09-01T07:55:00Z</dcterms:modified>
</cp:coreProperties>
</file>