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31B"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KISA ÜRÜN BİLGİSİ</w:t>
      </w:r>
    </w:p>
    <w:p w:rsidR="00B8431B"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1.</w:t>
      </w:r>
      <w:r w:rsidRPr="009548E4">
        <w:rPr>
          <w:rFonts w:ascii="Times New Roman" w:eastAsia="TimesNewRoman,Bold" w:hAnsi="Times New Roman" w:cs="Times New Roman"/>
          <w:b/>
          <w:bCs/>
          <w:sz w:val="24"/>
          <w:szCs w:val="24"/>
        </w:rPr>
        <w:tab/>
        <w:t>BEŞERİ TIBBİ ÜRÜNÜN ADI</w:t>
      </w:r>
    </w:p>
    <w:p w:rsidR="00B8431B" w:rsidRPr="009548E4" w:rsidRDefault="00D54E2A"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ENCEF</w:t>
      </w:r>
      <w:r w:rsidR="00B8431B" w:rsidRPr="009548E4">
        <w:rPr>
          <w:rFonts w:ascii="Times New Roman" w:eastAsia="TimesNewRoman,Bold" w:hAnsi="Times New Roman" w:cs="Times New Roman"/>
          <w:bCs/>
          <w:sz w:val="24"/>
          <w:szCs w:val="24"/>
        </w:rPr>
        <w:t xml:space="preserve"> 300 mg Kapsül</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16"/>
          <w:szCs w:val="16"/>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2.</w:t>
      </w:r>
      <w:r w:rsidRPr="009548E4">
        <w:rPr>
          <w:rFonts w:ascii="Times New Roman" w:eastAsia="TimesNewRoman,Bold" w:hAnsi="Times New Roman" w:cs="Times New Roman"/>
          <w:b/>
          <w:bCs/>
          <w:sz w:val="24"/>
          <w:szCs w:val="24"/>
        </w:rPr>
        <w:tab/>
        <w:t xml:space="preserve">KALİTATİF VE KANTİTATİF BİLEŞİM </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Etkin madde:</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Sefdinir</w:t>
      </w:r>
      <w:r w:rsidRPr="009548E4">
        <w:rPr>
          <w:rFonts w:ascii="Times New Roman" w:eastAsia="TimesNewRoman,Bold" w:hAnsi="Times New Roman" w:cs="Times New Roman"/>
          <w:bCs/>
          <w:sz w:val="24"/>
          <w:szCs w:val="24"/>
        </w:rPr>
        <w:tab/>
        <w:t xml:space="preserve">300 mg </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Yardımcı maddeler: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Yardımcı maddeler için, 6.1 'e bakınız.</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16"/>
          <w:szCs w:val="16"/>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3.</w:t>
      </w:r>
      <w:r w:rsidRPr="009548E4">
        <w:rPr>
          <w:rFonts w:ascii="Times New Roman" w:eastAsia="TimesNewRoman,Bold" w:hAnsi="Times New Roman" w:cs="Times New Roman"/>
          <w:b/>
          <w:bCs/>
          <w:sz w:val="24"/>
          <w:szCs w:val="24"/>
        </w:rPr>
        <w:tab/>
        <w:t>FARMASÖTİK FORM</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Kapsül</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0 numara</w:t>
      </w:r>
      <w:r w:rsidR="006273A1" w:rsidRPr="009548E4">
        <w:rPr>
          <w:rFonts w:ascii="Times New Roman" w:eastAsia="TimesNewRoman,Bold" w:hAnsi="Times New Roman" w:cs="Times New Roman"/>
          <w:bCs/>
          <w:sz w:val="24"/>
          <w:szCs w:val="24"/>
        </w:rPr>
        <w:t>,</w:t>
      </w:r>
      <w:r w:rsidRPr="009548E4">
        <w:rPr>
          <w:rFonts w:ascii="Times New Roman" w:eastAsia="TimesNewRoman,Bold" w:hAnsi="Times New Roman" w:cs="Times New Roman"/>
          <w:bCs/>
          <w:sz w:val="24"/>
          <w:szCs w:val="24"/>
        </w:rPr>
        <w:t xml:space="preserve"> </w:t>
      </w:r>
      <w:r w:rsidR="006273A1" w:rsidRPr="009548E4">
        <w:rPr>
          <w:rFonts w:ascii="Times New Roman" w:hAnsi="Times New Roman" w:cs="Times New Roman"/>
          <w:sz w:val="24"/>
          <w:szCs w:val="24"/>
        </w:rPr>
        <w:t>gövde kısmı opak fildişi sarı renkte, kapak kısmı opak koyu yeşil renkte sert jelatin kapsül içinde beyazımsı-sarı kuru granül.</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16"/>
          <w:szCs w:val="16"/>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4.</w:t>
      </w:r>
      <w:r w:rsidRPr="009548E4">
        <w:rPr>
          <w:rFonts w:ascii="Times New Roman" w:eastAsia="TimesNewRoman,Bold" w:hAnsi="Times New Roman" w:cs="Times New Roman"/>
          <w:b/>
          <w:bCs/>
          <w:sz w:val="24"/>
          <w:szCs w:val="24"/>
        </w:rPr>
        <w:tab/>
        <w:t>KLİNİK ÖZELLİKLER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4.1</w:t>
      </w:r>
      <w:r w:rsidRPr="009548E4">
        <w:rPr>
          <w:rFonts w:ascii="Times New Roman" w:eastAsia="TimesNewRoman,Bold" w:hAnsi="Times New Roman" w:cs="Times New Roman"/>
          <w:b/>
          <w:bCs/>
          <w:sz w:val="24"/>
          <w:szCs w:val="24"/>
        </w:rPr>
        <w:tab/>
        <w:t>Terapötik endikasyonlar</w:t>
      </w:r>
    </w:p>
    <w:p w:rsidR="00B8431B" w:rsidRPr="009548E4" w:rsidRDefault="00D54E2A"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ENCEF</w:t>
      </w:r>
      <w:r w:rsidR="00B8431B" w:rsidRPr="009548E4">
        <w:rPr>
          <w:rFonts w:ascii="Times New Roman" w:eastAsia="TimesNewRoman,Bold" w:hAnsi="Times New Roman" w:cs="Times New Roman"/>
          <w:bCs/>
          <w:sz w:val="24"/>
          <w:szCs w:val="24"/>
        </w:rPr>
        <w:t>, duyarlı mikroorganizmaların neden olduğu aşağıdaki enfeksiyonların tedavisinde endikedir.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Yetişkinler ve adolesanlar: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
          <w:bCs/>
          <w:sz w:val="24"/>
          <w:szCs w:val="24"/>
        </w:rPr>
        <w:t>Toplumdan edinilmiş pnömoni:</w:t>
      </w:r>
      <w:r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i/>
          <w:sz w:val="24"/>
          <w:szCs w:val="24"/>
        </w:rPr>
        <w:t>Haemophilııs influenzae</w:t>
      </w:r>
      <w:r w:rsidRPr="009548E4">
        <w:rPr>
          <w:rFonts w:ascii="Times New Roman" w:eastAsia="TimesNewRoman,Bold" w:hAnsi="Times New Roman" w:cs="Times New Roman"/>
          <w:bCs/>
          <w:sz w:val="24"/>
          <w:szCs w:val="24"/>
        </w:rPr>
        <w:t xml:space="preserve"> (beta-laktamaz üreten suşlar dahil), </w:t>
      </w:r>
      <w:r w:rsidRPr="009548E4">
        <w:rPr>
          <w:rFonts w:ascii="Times New Roman" w:eastAsia="TimesNewRoman,Bold" w:hAnsi="Times New Roman" w:cs="Times New Roman"/>
          <w:bCs/>
          <w:i/>
          <w:sz w:val="24"/>
          <w:szCs w:val="24"/>
        </w:rPr>
        <w:t>Haemophilus parainjluenzae</w:t>
      </w:r>
      <w:r w:rsidRPr="009548E4">
        <w:rPr>
          <w:rFonts w:ascii="Times New Roman" w:eastAsia="TimesNewRoman,Bold" w:hAnsi="Times New Roman" w:cs="Times New Roman"/>
          <w:bCs/>
          <w:sz w:val="24"/>
          <w:szCs w:val="24"/>
        </w:rPr>
        <w:t xml:space="preserve"> (beta-laktamaz üreten suşlar dahil), </w:t>
      </w:r>
      <w:r w:rsidRPr="009548E4">
        <w:rPr>
          <w:rFonts w:ascii="Times New Roman" w:eastAsia="TimesNewRoman,Bold" w:hAnsi="Times New Roman" w:cs="Times New Roman"/>
          <w:bCs/>
          <w:i/>
          <w:sz w:val="24"/>
          <w:szCs w:val="24"/>
        </w:rPr>
        <w:t xml:space="preserve">Streptococcus pneumoniae </w:t>
      </w:r>
      <w:r w:rsidRPr="009548E4">
        <w:rPr>
          <w:rFonts w:ascii="Times New Roman" w:eastAsia="TimesNewRoman,Bold" w:hAnsi="Times New Roman" w:cs="Times New Roman"/>
          <w:bCs/>
          <w:sz w:val="24"/>
          <w:szCs w:val="24"/>
        </w:rPr>
        <w:t xml:space="preserve">(sadece penisiline duyarlı suşlar) ve </w:t>
      </w:r>
      <w:r w:rsidRPr="009548E4">
        <w:rPr>
          <w:rFonts w:ascii="Times New Roman" w:eastAsia="TimesNewRoman,Bold" w:hAnsi="Times New Roman" w:cs="Times New Roman"/>
          <w:bCs/>
          <w:i/>
          <w:sz w:val="24"/>
          <w:szCs w:val="24"/>
        </w:rPr>
        <w:t>Moraxella catarrhalis'</w:t>
      </w:r>
      <w:r w:rsidRPr="009548E4">
        <w:rPr>
          <w:rFonts w:ascii="Times New Roman" w:eastAsia="TimesNewRoman,Bold" w:hAnsi="Times New Roman" w:cs="Times New Roman"/>
          <w:bCs/>
          <w:sz w:val="24"/>
          <w:szCs w:val="24"/>
        </w:rPr>
        <w:t>in (beta-laktamaz üreten suşlar dahil) neden olduğu enfeksiyonlar.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
          <w:bCs/>
          <w:sz w:val="24"/>
          <w:szCs w:val="24"/>
        </w:rPr>
        <w:t>Kronik bronşitin akut alevlenmesi:</w:t>
      </w:r>
      <w:r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i/>
          <w:sz w:val="24"/>
          <w:szCs w:val="24"/>
        </w:rPr>
        <w:t>Haemophilus influenzae</w:t>
      </w:r>
      <w:r w:rsidRPr="009548E4">
        <w:rPr>
          <w:rFonts w:ascii="Times New Roman" w:eastAsia="TimesNewRoman,Bold" w:hAnsi="Times New Roman" w:cs="Times New Roman"/>
          <w:bCs/>
          <w:sz w:val="24"/>
          <w:szCs w:val="24"/>
        </w:rPr>
        <w:t xml:space="preserve"> (beta-laktamaz üreten suşlar dahil), </w:t>
      </w:r>
      <w:r w:rsidRPr="009548E4">
        <w:rPr>
          <w:rFonts w:ascii="Times New Roman" w:eastAsia="TimesNewRoman,Bold" w:hAnsi="Times New Roman" w:cs="Times New Roman"/>
          <w:bCs/>
          <w:i/>
          <w:sz w:val="24"/>
          <w:szCs w:val="24"/>
        </w:rPr>
        <w:t xml:space="preserve">Haemophilus parainfluenzae </w:t>
      </w:r>
      <w:r w:rsidRPr="009548E4">
        <w:rPr>
          <w:rFonts w:ascii="Times New Roman" w:eastAsia="TimesNewRoman,Bold" w:hAnsi="Times New Roman" w:cs="Times New Roman"/>
          <w:bCs/>
          <w:sz w:val="24"/>
          <w:szCs w:val="24"/>
        </w:rPr>
        <w:t xml:space="preserve">(beta-laktamaz üreten suşlar dahil), </w:t>
      </w:r>
      <w:r w:rsidRPr="009548E4">
        <w:rPr>
          <w:rFonts w:ascii="Times New Roman" w:eastAsia="TimesNewRoman,Bold" w:hAnsi="Times New Roman" w:cs="Times New Roman"/>
          <w:bCs/>
          <w:i/>
          <w:sz w:val="24"/>
          <w:szCs w:val="24"/>
        </w:rPr>
        <w:t>Streptococcus pneumoniae</w:t>
      </w:r>
      <w:r w:rsidRPr="009548E4">
        <w:rPr>
          <w:rFonts w:ascii="Times New Roman" w:eastAsia="TimesNewRoman,Bold" w:hAnsi="Times New Roman" w:cs="Times New Roman"/>
          <w:bCs/>
          <w:sz w:val="24"/>
          <w:szCs w:val="24"/>
        </w:rPr>
        <w:t xml:space="preserve"> (sadece penisiline duyarlı suşlar) ve </w:t>
      </w:r>
      <w:r w:rsidRPr="009548E4">
        <w:rPr>
          <w:rFonts w:ascii="Times New Roman" w:eastAsia="TimesNewRoman,Bold" w:hAnsi="Times New Roman" w:cs="Times New Roman"/>
          <w:bCs/>
          <w:i/>
          <w:sz w:val="24"/>
          <w:szCs w:val="24"/>
        </w:rPr>
        <w:t>Moraxella catarrhalis'in</w:t>
      </w:r>
      <w:r w:rsidRPr="009548E4">
        <w:rPr>
          <w:rFonts w:ascii="Times New Roman" w:eastAsia="TimesNewRoman,Bold" w:hAnsi="Times New Roman" w:cs="Times New Roman"/>
          <w:bCs/>
          <w:sz w:val="24"/>
          <w:szCs w:val="24"/>
        </w:rPr>
        <w:t xml:space="preserve"> (beta-laktamaz üreten suşlar dahil) neden olduğu enfeksiyonlar.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
          <w:bCs/>
          <w:sz w:val="24"/>
          <w:szCs w:val="24"/>
        </w:rPr>
        <w:t>Akut maksiller sinüzit:</w:t>
      </w:r>
      <w:r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i/>
          <w:sz w:val="24"/>
          <w:szCs w:val="24"/>
        </w:rPr>
        <w:t>Haemophilus influenzae</w:t>
      </w:r>
      <w:r w:rsidRPr="009548E4">
        <w:rPr>
          <w:rFonts w:ascii="Times New Roman" w:eastAsia="TimesNewRoman,Bold" w:hAnsi="Times New Roman" w:cs="Times New Roman"/>
          <w:bCs/>
          <w:sz w:val="24"/>
          <w:szCs w:val="24"/>
        </w:rPr>
        <w:t xml:space="preserve"> (beta-laktamaz üreten suşlar dahil), </w:t>
      </w:r>
      <w:r w:rsidRPr="009548E4">
        <w:rPr>
          <w:rFonts w:ascii="Times New Roman" w:eastAsia="TimesNewRoman,Bold" w:hAnsi="Times New Roman" w:cs="Times New Roman"/>
          <w:bCs/>
          <w:i/>
          <w:sz w:val="24"/>
          <w:szCs w:val="24"/>
        </w:rPr>
        <w:t>Streptococcus pneumoniae</w:t>
      </w:r>
      <w:r w:rsidRPr="009548E4">
        <w:rPr>
          <w:rFonts w:ascii="Times New Roman" w:eastAsia="TimesNewRoman,Bold" w:hAnsi="Times New Roman" w:cs="Times New Roman"/>
          <w:bCs/>
          <w:sz w:val="24"/>
          <w:szCs w:val="24"/>
        </w:rPr>
        <w:t xml:space="preserve"> (sadece penisiline duyarlı suşlar) ve </w:t>
      </w:r>
      <w:r w:rsidRPr="009548E4">
        <w:rPr>
          <w:rFonts w:ascii="Times New Roman" w:eastAsia="TimesNewRoman,Bold" w:hAnsi="Times New Roman" w:cs="Times New Roman"/>
          <w:bCs/>
          <w:i/>
          <w:sz w:val="24"/>
          <w:szCs w:val="24"/>
        </w:rPr>
        <w:t>Moraxella catarrhalis'in</w:t>
      </w:r>
      <w:r w:rsidRPr="009548E4">
        <w:rPr>
          <w:rFonts w:ascii="Times New Roman" w:eastAsia="TimesNewRoman,Bold" w:hAnsi="Times New Roman" w:cs="Times New Roman"/>
          <w:bCs/>
          <w:sz w:val="24"/>
          <w:szCs w:val="24"/>
        </w:rPr>
        <w:t xml:space="preserve"> (beta-laktamaz üreten suşlar dahil) neden olduğu enfeksiyonlar. </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
          <w:bCs/>
          <w:sz w:val="24"/>
          <w:szCs w:val="24"/>
        </w:rPr>
        <w:t>Farenjit/Tonsillit:</w:t>
      </w:r>
      <w:r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i/>
          <w:sz w:val="24"/>
          <w:szCs w:val="24"/>
        </w:rPr>
        <w:t>Streptococcus pyogenes'in</w:t>
      </w:r>
      <w:r w:rsidRPr="009548E4">
        <w:rPr>
          <w:rFonts w:ascii="Times New Roman" w:eastAsia="TimesNewRoman,Bold" w:hAnsi="Times New Roman" w:cs="Times New Roman"/>
          <w:bCs/>
          <w:sz w:val="24"/>
          <w:szCs w:val="24"/>
        </w:rPr>
        <w:t xml:space="preserve"> neden olduğu enfeksiyonlar. </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
          <w:bCs/>
          <w:sz w:val="24"/>
          <w:szCs w:val="24"/>
        </w:rPr>
        <w:t>Komplike olmayan deri ve yumuşak doku enfeksiyonları:</w:t>
      </w:r>
      <w:r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i/>
          <w:sz w:val="24"/>
          <w:szCs w:val="24"/>
        </w:rPr>
        <w:t>Staphylococcus aureus</w:t>
      </w:r>
      <w:r w:rsidRPr="009548E4">
        <w:rPr>
          <w:rFonts w:ascii="Times New Roman" w:eastAsia="TimesNewRoman,Bold" w:hAnsi="Times New Roman" w:cs="Times New Roman"/>
          <w:bCs/>
          <w:sz w:val="24"/>
          <w:szCs w:val="24"/>
        </w:rPr>
        <w:t xml:space="preserve"> (beta-laktamaz üreten suşlar dahil) ve </w:t>
      </w:r>
      <w:r w:rsidRPr="009548E4">
        <w:rPr>
          <w:rFonts w:ascii="Times New Roman" w:eastAsia="TimesNewRoman,Bold" w:hAnsi="Times New Roman" w:cs="Times New Roman"/>
          <w:bCs/>
          <w:i/>
          <w:sz w:val="24"/>
          <w:szCs w:val="24"/>
        </w:rPr>
        <w:t>Streptococcus pyogenes’in</w:t>
      </w:r>
      <w:r w:rsidRPr="009548E4">
        <w:rPr>
          <w:rFonts w:ascii="Times New Roman" w:eastAsia="TimesNewRoman,Bold" w:hAnsi="Times New Roman" w:cs="Times New Roman"/>
          <w:bCs/>
          <w:sz w:val="24"/>
          <w:szCs w:val="24"/>
        </w:rPr>
        <w:t xml:space="preserve"> neden olduğu enfeksiyonlar.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lastRenderedPageBreak/>
        <w:t>Pediyatrik hastalar:</w:t>
      </w:r>
    </w:p>
    <w:p w:rsidR="006273A1"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
          <w:bCs/>
          <w:sz w:val="24"/>
          <w:szCs w:val="24"/>
        </w:rPr>
        <w:t>Akut bakteriyel otitis media:</w:t>
      </w:r>
      <w:r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i/>
          <w:sz w:val="24"/>
          <w:szCs w:val="24"/>
        </w:rPr>
        <w:t>Haemophilus influenzae</w:t>
      </w:r>
      <w:r w:rsidRPr="009548E4">
        <w:rPr>
          <w:rFonts w:ascii="Times New Roman" w:eastAsia="TimesNewRoman,Bold" w:hAnsi="Times New Roman" w:cs="Times New Roman"/>
          <w:bCs/>
          <w:sz w:val="24"/>
          <w:szCs w:val="24"/>
        </w:rPr>
        <w:t xml:space="preserve"> (beta-laktamaz üreten suşlar dahil), </w:t>
      </w:r>
      <w:r w:rsidRPr="009548E4">
        <w:rPr>
          <w:rFonts w:ascii="Times New Roman" w:eastAsia="TimesNewRoman,Bold" w:hAnsi="Times New Roman" w:cs="Times New Roman"/>
          <w:bCs/>
          <w:i/>
          <w:sz w:val="24"/>
          <w:szCs w:val="24"/>
        </w:rPr>
        <w:t>Streptococcus pneumoniae</w:t>
      </w:r>
      <w:r w:rsidRPr="009548E4">
        <w:rPr>
          <w:rFonts w:ascii="Times New Roman" w:eastAsia="TimesNewRoman,Bold" w:hAnsi="Times New Roman" w:cs="Times New Roman"/>
          <w:bCs/>
          <w:sz w:val="24"/>
          <w:szCs w:val="24"/>
        </w:rPr>
        <w:t xml:space="preserve"> (sadece penisiline duyarlı suşlar) ve </w:t>
      </w:r>
      <w:r w:rsidRPr="009548E4">
        <w:rPr>
          <w:rFonts w:ascii="Times New Roman" w:eastAsia="TimesNewRoman,Bold" w:hAnsi="Times New Roman" w:cs="Times New Roman"/>
          <w:bCs/>
          <w:i/>
          <w:sz w:val="24"/>
          <w:szCs w:val="24"/>
        </w:rPr>
        <w:t>Moraxella catarrhalis'in</w:t>
      </w:r>
      <w:r w:rsidRPr="009548E4">
        <w:rPr>
          <w:rFonts w:ascii="Times New Roman" w:eastAsia="TimesNewRoman,Bold" w:hAnsi="Times New Roman" w:cs="Times New Roman"/>
          <w:bCs/>
          <w:sz w:val="24"/>
          <w:szCs w:val="24"/>
        </w:rPr>
        <w:t xml:space="preserve"> (beta-laktamaz üreten suşlar dahil) neden olduğu enfeksiyonlar. </w:t>
      </w:r>
    </w:p>
    <w:p w:rsidR="006273A1"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
          <w:bCs/>
          <w:sz w:val="24"/>
          <w:szCs w:val="24"/>
        </w:rPr>
        <w:t>Farenjit/Tonsillit:</w:t>
      </w:r>
      <w:r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i/>
          <w:sz w:val="24"/>
          <w:szCs w:val="24"/>
        </w:rPr>
        <w:t>Streptococcus pyogenes'in</w:t>
      </w:r>
      <w:r w:rsidRPr="009548E4">
        <w:rPr>
          <w:rFonts w:ascii="Times New Roman" w:eastAsia="TimesNewRoman,Bold" w:hAnsi="Times New Roman" w:cs="Times New Roman"/>
          <w:bCs/>
          <w:sz w:val="24"/>
          <w:szCs w:val="24"/>
        </w:rPr>
        <w:t xml:space="preserve"> neden olduğu enfeksiyonlar. </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
          <w:bCs/>
          <w:sz w:val="24"/>
          <w:szCs w:val="24"/>
        </w:rPr>
        <w:t>Komplike olmayan deri ve yumuşak doku enfeksiyonları:</w:t>
      </w:r>
      <w:r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i/>
          <w:sz w:val="24"/>
          <w:szCs w:val="24"/>
        </w:rPr>
        <w:t>Staphylococcus aureus</w:t>
      </w:r>
      <w:r w:rsidRPr="009548E4">
        <w:rPr>
          <w:rFonts w:ascii="Times New Roman" w:eastAsia="TimesNewRoman,Bold" w:hAnsi="Times New Roman" w:cs="Times New Roman"/>
          <w:bCs/>
          <w:sz w:val="24"/>
          <w:szCs w:val="24"/>
        </w:rPr>
        <w:t xml:space="preserve"> (beta-laktamaz üreten suşlar dahil) ve </w:t>
      </w:r>
      <w:r w:rsidRPr="009548E4">
        <w:rPr>
          <w:rFonts w:ascii="Times New Roman" w:eastAsia="TimesNewRoman,Bold" w:hAnsi="Times New Roman" w:cs="Times New Roman"/>
          <w:bCs/>
          <w:i/>
          <w:sz w:val="24"/>
          <w:szCs w:val="24"/>
        </w:rPr>
        <w:t>Streptococcus pyogenes’in</w:t>
      </w:r>
      <w:r w:rsidRPr="009548E4">
        <w:rPr>
          <w:rFonts w:ascii="Times New Roman" w:eastAsia="TimesNewRoman,Bold" w:hAnsi="Times New Roman" w:cs="Times New Roman"/>
          <w:bCs/>
          <w:sz w:val="24"/>
          <w:szCs w:val="24"/>
        </w:rPr>
        <w:t xml:space="preserve"> neden olduğu enfeksiyonlar.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4.2</w:t>
      </w:r>
      <w:r w:rsidRPr="009548E4">
        <w:rPr>
          <w:rFonts w:ascii="Times New Roman" w:eastAsia="TimesNewRoman,Bold" w:hAnsi="Times New Roman" w:cs="Times New Roman"/>
          <w:b/>
          <w:bCs/>
          <w:sz w:val="24"/>
          <w:szCs w:val="24"/>
        </w:rPr>
        <w:tab/>
        <w:t>Pozoloji ve uygulama şekli</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Pozoloji/uygulama sıklığı ve süresi:</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 xml:space="preserve">13 yaş ve üzeri yetişkinler ve adolesanlarda önerilen doz ve tedavi süresi aşağıdaki tabloda belirtilmiştir; tüm enfeksiyonlar için toplam günlük doz 600 mg'dır. 10 gün boyunca günde tek doz uygulama günde iki kez uygulama ile eşit etkinliktedir. Deri enfeksiyonları veya pnömonide tek doz uygulama çalışılmadığından </w:t>
      </w:r>
      <w:r w:rsidR="00D54E2A" w:rsidRPr="009548E4">
        <w:rPr>
          <w:rFonts w:ascii="Times New Roman" w:eastAsia="TimesNewRoman,Bold" w:hAnsi="Times New Roman" w:cs="Times New Roman"/>
          <w:bCs/>
          <w:sz w:val="24"/>
          <w:szCs w:val="24"/>
        </w:rPr>
        <w:t>ENCEF</w:t>
      </w:r>
      <w:r w:rsidRPr="009548E4">
        <w:rPr>
          <w:rFonts w:ascii="Times New Roman" w:eastAsia="TimesNewRoman,Bold" w:hAnsi="Times New Roman" w:cs="Times New Roman"/>
          <w:bCs/>
          <w:sz w:val="24"/>
          <w:szCs w:val="24"/>
        </w:rPr>
        <w:t xml:space="preserve"> bu enfeksiyonlarda günde iki kez uygulanmalıdır.</w:t>
      </w:r>
    </w:p>
    <w:p w:rsidR="00B8431B"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13 Yaş ve Üzeri Yetişkinler ve Adolesanlar</w:t>
      </w:r>
    </w:p>
    <w:tbl>
      <w:tblPr>
        <w:tblW w:w="889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963"/>
        <w:gridCol w:w="2949"/>
        <w:gridCol w:w="2987"/>
      </w:tblGrid>
      <w:tr w:rsidR="00B8431B" w:rsidRPr="009548E4" w:rsidTr="00B8431B">
        <w:trPr>
          <w:trHeight w:hRule="exact" w:val="385"/>
        </w:trPr>
        <w:tc>
          <w:tcPr>
            <w:tcW w:w="2963" w:type="dxa"/>
            <w:shd w:val="clear" w:color="auto" w:fill="FFFFFF"/>
          </w:tcPr>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Enfeksiyon türü</w:t>
            </w:r>
          </w:p>
        </w:tc>
        <w:tc>
          <w:tcPr>
            <w:tcW w:w="2949" w:type="dxa"/>
            <w:shd w:val="clear" w:color="auto" w:fill="FFFFFF"/>
          </w:tcPr>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Doz</w:t>
            </w:r>
          </w:p>
        </w:tc>
        <w:tc>
          <w:tcPr>
            <w:tcW w:w="2987" w:type="dxa"/>
            <w:shd w:val="clear" w:color="auto" w:fill="FFFFFF"/>
          </w:tcPr>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Tedavi süresi</w:t>
            </w:r>
          </w:p>
        </w:tc>
      </w:tr>
      <w:tr w:rsidR="00B8431B" w:rsidRPr="009548E4" w:rsidTr="00B8431B">
        <w:trPr>
          <w:trHeight w:hRule="exact" w:val="726"/>
        </w:trPr>
        <w:tc>
          <w:tcPr>
            <w:tcW w:w="2963" w:type="dxa"/>
            <w:shd w:val="clear" w:color="auto" w:fill="FFFFFF"/>
          </w:tcPr>
          <w:p w:rsidR="00B8431B" w:rsidRPr="009548E4" w:rsidRDefault="00B8431B" w:rsidP="00B8431B">
            <w:pPr>
              <w:autoSpaceDE w:val="0"/>
              <w:autoSpaceDN w:val="0"/>
              <w:adjustRightInd w:val="0"/>
              <w:spacing w:after="0" w:line="360" w:lineRule="auto"/>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Toplumdan edinilmiş pnömoni</w:t>
            </w:r>
          </w:p>
        </w:tc>
        <w:tc>
          <w:tcPr>
            <w:tcW w:w="2949" w:type="dxa"/>
            <w:shd w:val="clear" w:color="auto" w:fill="FFFFFF"/>
          </w:tcPr>
          <w:p w:rsidR="00B8431B"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300 mg 12 saat ara ile</w:t>
            </w:r>
          </w:p>
        </w:tc>
        <w:tc>
          <w:tcPr>
            <w:tcW w:w="2987" w:type="dxa"/>
            <w:shd w:val="clear" w:color="auto" w:fill="FFFFFF"/>
          </w:tcPr>
          <w:p w:rsidR="00B8431B"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10 gün</w:t>
            </w:r>
          </w:p>
        </w:tc>
      </w:tr>
      <w:tr w:rsidR="00B8431B" w:rsidRPr="009548E4" w:rsidTr="00B8431B">
        <w:trPr>
          <w:trHeight w:hRule="exact" w:val="726"/>
        </w:trPr>
        <w:tc>
          <w:tcPr>
            <w:tcW w:w="2963" w:type="dxa"/>
            <w:shd w:val="clear" w:color="auto" w:fill="FFFFFF"/>
          </w:tcPr>
          <w:p w:rsidR="00B8431B" w:rsidRPr="009548E4" w:rsidRDefault="00B8431B" w:rsidP="00B8431B">
            <w:pPr>
              <w:autoSpaceDE w:val="0"/>
              <w:autoSpaceDN w:val="0"/>
              <w:adjustRightInd w:val="0"/>
              <w:spacing w:after="0" w:line="360" w:lineRule="auto"/>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Kronik bronşitin akut alevlenmesi</w:t>
            </w:r>
          </w:p>
        </w:tc>
        <w:tc>
          <w:tcPr>
            <w:tcW w:w="2949" w:type="dxa"/>
            <w:shd w:val="clear" w:color="auto" w:fill="FFFFFF"/>
          </w:tcPr>
          <w:p w:rsidR="00B8431B"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300 mg 12 saat ara ile veya 600 mg günde tek doz</w:t>
            </w:r>
          </w:p>
        </w:tc>
        <w:tc>
          <w:tcPr>
            <w:tcW w:w="2987" w:type="dxa"/>
            <w:shd w:val="clear" w:color="auto" w:fill="FFFFFF"/>
          </w:tcPr>
          <w:p w:rsidR="00B202A0"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 xml:space="preserve">5-10 gün </w:t>
            </w:r>
          </w:p>
          <w:p w:rsidR="00B8431B"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10 gün</w:t>
            </w:r>
          </w:p>
        </w:tc>
      </w:tr>
      <w:tr w:rsidR="00B8431B" w:rsidRPr="009548E4" w:rsidTr="00B8431B">
        <w:trPr>
          <w:trHeight w:hRule="exact" w:val="726"/>
        </w:trPr>
        <w:tc>
          <w:tcPr>
            <w:tcW w:w="2963" w:type="dxa"/>
            <w:shd w:val="clear" w:color="auto" w:fill="FFFFFF"/>
          </w:tcPr>
          <w:p w:rsidR="00B8431B" w:rsidRPr="009548E4" w:rsidRDefault="00B8431B" w:rsidP="00B8431B">
            <w:pPr>
              <w:autoSpaceDE w:val="0"/>
              <w:autoSpaceDN w:val="0"/>
              <w:adjustRightInd w:val="0"/>
              <w:spacing w:after="0" w:line="360" w:lineRule="auto"/>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Akut maksiller sinüzit</w:t>
            </w:r>
          </w:p>
        </w:tc>
        <w:tc>
          <w:tcPr>
            <w:tcW w:w="2949" w:type="dxa"/>
            <w:shd w:val="clear" w:color="auto" w:fill="FFFFFF"/>
          </w:tcPr>
          <w:p w:rsidR="00B8431B"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300 mg 12 saat ara ile veya 600 mg günde tek doz</w:t>
            </w:r>
          </w:p>
        </w:tc>
        <w:tc>
          <w:tcPr>
            <w:tcW w:w="2987" w:type="dxa"/>
            <w:shd w:val="clear" w:color="auto" w:fill="FFFFFF"/>
          </w:tcPr>
          <w:p w:rsidR="00B202A0"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 xml:space="preserve">10 gün </w:t>
            </w:r>
          </w:p>
          <w:p w:rsidR="00B8431B"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10 gün</w:t>
            </w:r>
          </w:p>
        </w:tc>
      </w:tr>
      <w:tr w:rsidR="00B8431B" w:rsidRPr="009548E4" w:rsidTr="00B8431B">
        <w:trPr>
          <w:trHeight w:hRule="exact" w:val="733"/>
        </w:trPr>
        <w:tc>
          <w:tcPr>
            <w:tcW w:w="2963" w:type="dxa"/>
            <w:shd w:val="clear" w:color="auto" w:fill="FFFFFF"/>
          </w:tcPr>
          <w:p w:rsidR="00B8431B" w:rsidRPr="009548E4" w:rsidRDefault="00B8431B" w:rsidP="00B8431B">
            <w:pPr>
              <w:autoSpaceDE w:val="0"/>
              <w:autoSpaceDN w:val="0"/>
              <w:adjustRightInd w:val="0"/>
              <w:spacing w:after="0" w:line="360" w:lineRule="auto"/>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Farenjit/Tonsillit</w:t>
            </w:r>
          </w:p>
        </w:tc>
        <w:tc>
          <w:tcPr>
            <w:tcW w:w="2949" w:type="dxa"/>
            <w:shd w:val="clear" w:color="auto" w:fill="FFFFFF"/>
          </w:tcPr>
          <w:p w:rsidR="00B8431B"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300 mg 12 saat ara ile veya 600 mg günde tek doz</w:t>
            </w:r>
          </w:p>
        </w:tc>
        <w:tc>
          <w:tcPr>
            <w:tcW w:w="2987" w:type="dxa"/>
            <w:shd w:val="clear" w:color="auto" w:fill="FFFFFF"/>
          </w:tcPr>
          <w:p w:rsidR="00B202A0"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 xml:space="preserve">5-10 gün </w:t>
            </w:r>
          </w:p>
          <w:p w:rsidR="00B8431B"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10 gün</w:t>
            </w:r>
          </w:p>
        </w:tc>
      </w:tr>
      <w:tr w:rsidR="00B8431B" w:rsidRPr="009548E4" w:rsidTr="00B8431B">
        <w:trPr>
          <w:trHeight w:hRule="exact" w:val="738"/>
        </w:trPr>
        <w:tc>
          <w:tcPr>
            <w:tcW w:w="2963" w:type="dxa"/>
            <w:shd w:val="clear" w:color="auto" w:fill="FFFFFF"/>
          </w:tcPr>
          <w:p w:rsidR="00B8431B" w:rsidRPr="009548E4" w:rsidRDefault="00B8431B" w:rsidP="00B8431B">
            <w:pPr>
              <w:autoSpaceDE w:val="0"/>
              <w:autoSpaceDN w:val="0"/>
              <w:adjustRightInd w:val="0"/>
              <w:spacing w:after="0" w:line="360" w:lineRule="auto"/>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Komplike olmayan deri ve yumuşak doku enfeksiyonları</w:t>
            </w:r>
          </w:p>
        </w:tc>
        <w:tc>
          <w:tcPr>
            <w:tcW w:w="2949" w:type="dxa"/>
            <w:shd w:val="clear" w:color="auto" w:fill="FFFFFF"/>
          </w:tcPr>
          <w:p w:rsidR="00B8431B"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300 mg 12 saat ara ile</w:t>
            </w:r>
          </w:p>
        </w:tc>
        <w:tc>
          <w:tcPr>
            <w:tcW w:w="2987" w:type="dxa"/>
            <w:shd w:val="clear" w:color="auto" w:fill="FFFFFF"/>
          </w:tcPr>
          <w:p w:rsidR="00B8431B" w:rsidRPr="009548E4" w:rsidRDefault="00B8431B" w:rsidP="00B8431B">
            <w:pPr>
              <w:autoSpaceDE w:val="0"/>
              <w:autoSpaceDN w:val="0"/>
              <w:adjustRightInd w:val="0"/>
              <w:spacing w:after="0" w:line="360" w:lineRule="auto"/>
              <w:jc w:val="center"/>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10 gün</w:t>
            </w:r>
          </w:p>
        </w:tc>
      </w:tr>
    </w:tbl>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Uygulama şekli:</w:t>
      </w:r>
    </w:p>
    <w:p w:rsidR="00B8431B" w:rsidRPr="009548E4" w:rsidRDefault="00D54E2A"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ENCEF</w:t>
      </w:r>
      <w:r w:rsidR="00B8431B" w:rsidRPr="009548E4">
        <w:rPr>
          <w:rFonts w:ascii="Times New Roman" w:eastAsia="TimesNewRoman,Bold" w:hAnsi="Times New Roman" w:cs="Times New Roman"/>
          <w:bCs/>
          <w:sz w:val="24"/>
          <w:szCs w:val="24"/>
        </w:rPr>
        <w:t xml:space="preserve"> yemeklerden bağımsız olarak kullanılabilir.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 xml:space="preserve">Özel popülasyonlara ilişkin ek bilgiler: </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Böbrek yetmezliği:</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Kreatinin klerensi 30 mL/dak.'dan düşük olan yetişkin hastalarda sefdinir dozu günde tek doz 300 mg olmalıdır.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lastRenderedPageBreak/>
        <w:t>Hemodiyaliz sefdiniri vücuttan uzaklaştırır. Kronik hemodiyaliz hastalarında önerilen başlangıç dozu iki günde bir 300 mg veya 7 mg/kg'dır. Hemodiyaliz uygulaması bittikten sonra 300 mg veya 7 mg/kg uygulanmalıdır. İzleyen dozlar iki günde bir 300 mg veya 7 mg/kg olmalıdır.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Karaciğer yetmezliği:</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Karaciğer yetmezliği olan hastalarda ilacın kullanımı ile ilgili bir bilgi yoktur.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Pediyatrik popülasyon:</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Yeni doğanlarda ve 6 aydan küçük bebeklerde etkililiği ve güvenliliği kanıtlanmamıştır.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Geriyatrik popülasyon:</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Böbrek fonksiyon bozukluğu olmayan yaşlı hastalarda doz ayarlaması gerekmemektedir.</w:t>
      </w:r>
    </w:p>
    <w:p w:rsidR="00A06C63" w:rsidRPr="009548E4" w:rsidRDefault="00A06C63"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4.3</w:t>
      </w:r>
      <w:r w:rsidR="00A06C63" w:rsidRPr="009548E4">
        <w:rPr>
          <w:rFonts w:ascii="Times New Roman" w:eastAsia="TimesNewRoman,Bold" w:hAnsi="Times New Roman" w:cs="Times New Roman"/>
          <w:b/>
          <w:bCs/>
          <w:sz w:val="24"/>
          <w:szCs w:val="24"/>
        </w:rPr>
        <w:tab/>
      </w:r>
      <w:r w:rsidRPr="009548E4">
        <w:rPr>
          <w:rFonts w:ascii="Times New Roman" w:eastAsia="TimesNewRoman,Bold" w:hAnsi="Times New Roman" w:cs="Times New Roman"/>
          <w:b/>
          <w:bCs/>
          <w:sz w:val="24"/>
          <w:szCs w:val="24"/>
        </w:rPr>
        <w:t>Kontrendikasyonlar</w:t>
      </w:r>
    </w:p>
    <w:p w:rsidR="00B8431B" w:rsidRPr="009548E4" w:rsidRDefault="00D54E2A"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ENCEF</w:t>
      </w:r>
      <w:r w:rsidR="00B8431B" w:rsidRPr="009548E4">
        <w:rPr>
          <w:rFonts w:ascii="Times New Roman" w:eastAsia="TimesNewRoman,Bold" w:hAnsi="Times New Roman" w:cs="Times New Roman"/>
          <w:bCs/>
          <w:sz w:val="24"/>
          <w:szCs w:val="24"/>
        </w:rPr>
        <w:t>, sefalosporin grubu antibiyotiklere karşı aşırı duyarlılığı olan hastalarda kontrendikedir.</w:t>
      </w:r>
    </w:p>
    <w:p w:rsidR="00A06C63" w:rsidRPr="009548E4" w:rsidRDefault="00A06C63"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A06C63"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4.4</w:t>
      </w:r>
      <w:r w:rsidRPr="009548E4">
        <w:rPr>
          <w:rFonts w:ascii="Times New Roman" w:eastAsia="TimesNewRoman,Bold" w:hAnsi="Times New Roman" w:cs="Times New Roman"/>
          <w:b/>
          <w:bCs/>
          <w:sz w:val="24"/>
          <w:szCs w:val="24"/>
        </w:rPr>
        <w:tab/>
      </w:r>
      <w:r w:rsidR="00B8431B" w:rsidRPr="009548E4">
        <w:rPr>
          <w:rFonts w:ascii="Times New Roman" w:eastAsia="TimesNewRoman,Bold" w:hAnsi="Times New Roman" w:cs="Times New Roman"/>
          <w:b/>
          <w:bCs/>
          <w:sz w:val="24"/>
          <w:szCs w:val="24"/>
        </w:rPr>
        <w:t>Özel kullanım uyarıları ve önlemleri</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Sefdinir ile tedaviye başlamadan önce hastanın sefdinir, diğer sefalosporinler, penisilinler veya diğer ilaçlara aşırı duyarlılığı olup olmadığı araştırılmalıdır. Eğer sefdinir, penisiline duyarlı hastalara verilecekse penisilin alerjisi olan hastaların %10'unda çapraz-aşı</w:t>
      </w:r>
      <w:r w:rsidR="0062521C" w:rsidRPr="009548E4">
        <w:rPr>
          <w:rFonts w:ascii="Times New Roman" w:eastAsia="TimesNewRoman,Bold" w:hAnsi="Times New Roman" w:cs="Times New Roman"/>
          <w:bCs/>
          <w:sz w:val="24"/>
          <w:szCs w:val="24"/>
        </w:rPr>
        <w:t>rı</w:t>
      </w:r>
      <w:r w:rsidRPr="009548E4">
        <w:rPr>
          <w:rFonts w:ascii="Times New Roman" w:eastAsia="TimesNewRoman,Bold" w:hAnsi="Times New Roman" w:cs="Times New Roman"/>
          <w:bCs/>
          <w:sz w:val="24"/>
          <w:szCs w:val="24"/>
        </w:rPr>
        <w:t xml:space="preserve"> duyarlılık olabileceğinden mutlaka dikkatli olunmalıdır. Eğer sefdinire karşı allerjik reaksiyon oluşursa ilaç tedavisi kesilmelidir. Ciddi akut aşırı duyarlılık reaksiyonları epinefrin, intravenöz sıvı uygulaması, intravenöz antihistaminikler, kortikosteroidler, pressör aminler ile tedavisi ve oksijen verilmesi ile hava yolu açılması ile tedaviyi gerektirebilir.</w:t>
      </w:r>
    </w:p>
    <w:p w:rsidR="00A06C63"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Sefdinir de dahil olmak üzere hemen hemen tüm antibakteriyel ilaçlarla psödomembranöz kolit gelişimi bildirilmiştir. Bu nedenle antibakteriyel ajanlarla tedavi sonrası gelişen diyare olgularında dikkatli olunmalıdır.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 xml:space="preserve">Antibakteriyel ilaçlarla tedavi barsağın normal florasını değiştirir ve clostridium türü bakterilerin gelişimine yol açar. Çalışmalar </w:t>
      </w:r>
      <w:r w:rsidRPr="009548E4">
        <w:rPr>
          <w:rFonts w:ascii="Times New Roman" w:eastAsia="TimesNewRoman,Bold" w:hAnsi="Times New Roman" w:cs="Times New Roman"/>
          <w:bCs/>
          <w:i/>
          <w:sz w:val="24"/>
          <w:szCs w:val="24"/>
        </w:rPr>
        <w:t>Clostridium difficile</w:t>
      </w:r>
      <w:r w:rsidRPr="009548E4">
        <w:rPr>
          <w:rFonts w:ascii="Times New Roman" w:eastAsia="TimesNewRoman,Bold" w:hAnsi="Times New Roman" w:cs="Times New Roman"/>
          <w:bCs/>
          <w:sz w:val="24"/>
          <w:szCs w:val="24"/>
        </w:rPr>
        <w:t xml:space="preserve"> tarafından üretilen toksinin antibiyotik ile ilişkili kolitin primer sorumlusu olduğunu göstermektedir.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 xml:space="preserve">Psödomembranöz kolit tanısından sonra uygun tedaviye başlanmalıdır. Orta derecede psödomembranöz kolit vakaları genellikle ilacın kesilmesine yeterli yanıt verirler. Ağır kolitli olgularda sıvı ve elektrolit tedavisi, protein desteği ve </w:t>
      </w:r>
      <w:r w:rsidRPr="009548E4">
        <w:rPr>
          <w:rFonts w:ascii="Times New Roman" w:eastAsia="TimesNewRoman,Bold" w:hAnsi="Times New Roman" w:cs="Times New Roman"/>
          <w:bCs/>
          <w:i/>
          <w:sz w:val="24"/>
          <w:szCs w:val="24"/>
        </w:rPr>
        <w:t>Clostridium difficile</w:t>
      </w:r>
      <w:r w:rsidRPr="009548E4">
        <w:rPr>
          <w:rFonts w:ascii="Times New Roman" w:eastAsia="TimesNewRoman,Bold" w:hAnsi="Times New Roman" w:cs="Times New Roman"/>
          <w:bCs/>
          <w:sz w:val="24"/>
          <w:szCs w:val="24"/>
        </w:rPr>
        <w:t>'</w:t>
      </w:r>
      <w:r w:rsidRPr="009548E4">
        <w:rPr>
          <w:rFonts w:ascii="Times New Roman" w:eastAsia="TimesNewRoman,Bold" w:hAnsi="Times New Roman" w:cs="Times New Roman"/>
          <w:bCs/>
          <w:i/>
          <w:sz w:val="24"/>
          <w:szCs w:val="24"/>
        </w:rPr>
        <w:t>ye</w:t>
      </w:r>
      <w:r w:rsidRPr="009548E4">
        <w:rPr>
          <w:rFonts w:ascii="Times New Roman" w:eastAsia="TimesNewRoman,Bold" w:hAnsi="Times New Roman" w:cs="Times New Roman"/>
          <w:bCs/>
          <w:sz w:val="24"/>
          <w:szCs w:val="24"/>
        </w:rPr>
        <w:t xml:space="preserve"> klinik olarak etkili antibakteriyel ilaç ile tedavi gerekmektedir.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lastRenderedPageBreak/>
        <w:t>Diğer geniş spektrumlu antibiyotiklerde olduğu gibi, uzamış tedavi dirençli organizmaların gelişmesine neden olabilir. Hastanın dikkatli bir biçimde izlenmesi gerekmektedir. Eğer tedavi sırasında süper enfeksiyon oluşursa uygun alternatif tedavi verilmelidir.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Diğer geniş spektrumlu antibiyotikler gibi sefdinir, kolit öyküsü olan kişilere uygulanırken dikkatli olunmalıdır.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Böbrek fonksiyon bozukluğu olan hastalarda (kreatinin klerensi &lt; 30 mL/dak.) sefdinir için doz ayarlaması yapılmalıdır.</w:t>
      </w:r>
    </w:p>
    <w:p w:rsidR="0062521C" w:rsidRPr="009548E4" w:rsidRDefault="0062521C"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4.5</w:t>
      </w:r>
      <w:r w:rsidRPr="009548E4">
        <w:rPr>
          <w:rFonts w:ascii="Times New Roman" w:eastAsia="TimesNewRoman,Bold" w:hAnsi="Times New Roman" w:cs="Times New Roman"/>
          <w:b/>
          <w:bCs/>
          <w:sz w:val="24"/>
          <w:szCs w:val="24"/>
        </w:rPr>
        <w:tab/>
        <w:t>Diğer tıbbi ürünler ile etkileşimler ve diğer etkileşim şekilleri</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i/>
          <w:sz w:val="24"/>
          <w:szCs w:val="24"/>
        </w:rPr>
      </w:pPr>
      <w:r w:rsidRPr="009548E4">
        <w:rPr>
          <w:rFonts w:ascii="Times New Roman" w:eastAsia="TimesNewRoman,Bold" w:hAnsi="Times New Roman" w:cs="Times New Roman"/>
          <w:bCs/>
          <w:i/>
          <w:sz w:val="24"/>
          <w:szCs w:val="24"/>
        </w:rPr>
        <w:t>Alüminyum veya magnezyum içeren antasitler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Sefdinir tedavisi sırasında antasit kullanılması gerekiyorsa, sefdinir antasitlerin alınmasından</w:t>
      </w:r>
      <w:r w:rsidR="006553CA"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en az 2 saat önce veya sonra alınmalıdır.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i/>
          <w:sz w:val="24"/>
          <w:szCs w:val="24"/>
        </w:rPr>
      </w:pPr>
      <w:r w:rsidRPr="009548E4">
        <w:rPr>
          <w:rFonts w:ascii="Times New Roman" w:eastAsia="TimesNewRoman,Bold" w:hAnsi="Times New Roman" w:cs="Times New Roman"/>
          <w:bCs/>
          <w:i/>
          <w:sz w:val="24"/>
          <w:szCs w:val="24"/>
        </w:rPr>
        <w:t>Probenesid</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Diğer beta-laktam antibiyotiklerde olduğu gibi probenesid sefdinirin renal atılımını inhibe</w:t>
      </w:r>
      <w:r w:rsidR="0062521C"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eder.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i/>
          <w:sz w:val="24"/>
          <w:szCs w:val="24"/>
        </w:rPr>
      </w:pPr>
      <w:r w:rsidRPr="009548E4">
        <w:rPr>
          <w:rFonts w:ascii="Times New Roman" w:eastAsia="TimesNewRoman,Bold" w:hAnsi="Times New Roman" w:cs="Times New Roman"/>
          <w:bCs/>
          <w:i/>
          <w:sz w:val="24"/>
          <w:szCs w:val="24"/>
        </w:rPr>
        <w:t>Demir suplemanları ve demirle güçlendirilmiş besinler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Sefdinir tedavisi sırasında demir suplemanların</w:t>
      </w:r>
      <w:r w:rsidR="0062521C" w:rsidRPr="009548E4">
        <w:rPr>
          <w:rFonts w:ascii="Times New Roman" w:eastAsia="TimesNewRoman,Bold" w:hAnsi="Times New Roman" w:cs="Times New Roman"/>
          <w:bCs/>
          <w:sz w:val="24"/>
          <w:szCs w:val="24"/>
        </w:rPr>
        <w:t>ın</w:t>
      </w:r>
      <w:r w:rsidRPr="009548E4">
        <w:rPr>
          <w:rFonts w:ascii="Times New Roman" w:eastAsia="TimesNewRoman,Bold" w:hAnsi="Times New Roman" w:cs="Times New Roman"/>
          <w:bCs/>
          <w:sz w:val="24"/>
          <w:szCs w:val="24"/>
        </w:rPr>
        <w:t xml:space="preserve"> kullanılması gerekiyorsa, sefdinir demir</w:t>
      </w:r>
      <w:r w:rsidR="003D4957"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suplemanların</w:t>
      </w:r>
      <w:r w:rsidR="003D4957" w:rsidRPr="009548E4">
        <w:rPr>
          <w:rFonts w:ascii="Times New Roman" w:eastAsia="TimesNewRoman,Bold" w:hAnsi="Times New Roman" w:cs="Times New Roman"/>
          <w:bCs/>
          <w:sz w:val="24"/>
          <w:szCs w:val="24"/>
        </w:rPr>
        <w:t>ın</w:t>
      </w:r>
      <w:r w:rsidRPr="009548E4">
        <w:rPr>
          <w:rFonts w:ascii="Times New Roman" w:eastAsia="TimesNewRoman,Bold" w:hAnsi="Times New Roman" w:cs="Times New Roman"/>
          <w:bCs/>
          <w:sz w:val="24"/>
          <w:szCs w:val="24"/>
        </w:rPr>
        <w:t xml:space="preserve"> alınmasından en az 2 saat önce veya sonra alınmalıdır.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Özel popülasyonlara ilişkin ek bilgiler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Bilinen bir etkileşimi yoktur.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Pediyatrik popülasyon:</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Bilinen bir etkileşimi yoktur.</w:t>
      </w:r>
    </w:p>
    <w:p w:rsidR="006553CA" w:rsidRPr="009548E4" w:rsidRDefault="006553CA"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6553CA"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4.6</w:t>
      </w:r>
      <w:r w:rsidRPr="009548E4">
        <w:rPr>
          <w:rFonts w:ascii="Times New Roman" w:eastAsia="TimesNewRoman,Bold" w:hAnsi="Times New Roman" w:cs="Times New Roman"/>
          <w:b/>
          <w:bCs/>
          <w:sz w:val="24"/>
          <w:szCs w:val="24"/>
        </w:rPr>
        <w:tab/>
        <w:t>Gebelik ve laktasyon</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Genel tavsiye</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Gebelik kategorisi B'dir.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Çocuk doğurma potansiyeli bulunan kadınlar/Doğum kontrolü (Kontrasepsiyon)</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Çocuk doğurma potansiyeli bulunan kadınlarda sefdinirin kullanımıyla ilgili herhangi bir veri yoktur.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Gebelik dönemi</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Sefdinir için, gebeliklerde maruz kalmaya ilişkin klinik veri mevcut değildir.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Hayvanlar üzerinde yapılan çalışmalar, gebelik / embriyonal / fetal gelişim / doğum ya da</w:t>
      </w:r>
      <w:r w:rsidR="003D4957"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doğum sonrası gelişim ile ilgili olarak doğrudan ya da dolaylı zararlı etkiler olduğunu</w:t>
      </w:r>
      <w:r w:rsidR="003D4957"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göstermemektedir.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lastRenderedPageBreak/>
        <w:t>Gebe kadınlara verilirken tedbirli olunmalıdır.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Laktasyon dönemi</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600 mg tek doz uygulamayı takiben anne sütünde sefdinir saptanmamıştır.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Üreme yeteneği /Fertilite</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Üreme yeteneği üzerine bilinen bir etkisi yoktur.</w:t>
      </w:r>
    </w:p>
    <w:p w:rsidR="003D4957" w:rsidRPr="009548E4" w:rsidRDefault="003D4957"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4.7</w:t>
      </w:r>
      <w:r w:rsidRPr="009548E4">
        <w:rPr>
          <w:rFonts w:ascii="Times New Roman" w:eastAsia="TimesNewRoman,Bold" w:hAnsi="Times New Roman" w:cs="Times New Roman"/>
          <w:b/>
          <w:bCs/>
          <w:sz w:val="24"/>
          <w:szCs w:val="24"/>
        </w:rPr>
        <w:tab/>
        <w:t>Araç ve makine kullanımı üzerindeki etkiler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Araç ve makine kullanımı üzerine etkisi bildirilmemiştir.</w:t>
      </w:r>
    </w:p>
    <w:p w:rsidR="003D4957" w:rsidRPr="009548E4" w:rsidRDefault="003D4957"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4.8</w:t>
      </w:r>
      <w:r w:rsidRPr="009548E4">
        <w:rPr>
          <w:rFonts w:ascii="Times New Roman" w:eastAsia="TimesNewRoman,Bold" w:hAnsi="Times New Roman" w:cs="Times New Roman"/>
          <w:b/>
          <w:bCs/>
          <w:sz w:val="24"/>
          <w:szCs w:val="24"/>
        </w:rPr>
        <w:tab/>
        <w:t>İstenmeyen etkiler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Klinik araştırmalarda sefdinir kapsülün önerilen dozu (600 mg/gün) ile tedavi edilen yetişkin ve adolesan hastalarda görülen yan etkilerin çoğu hafif ve kişiye özeldir. Ölüm veya kalıcı sakatlıklar görülmemiştir. İlaçla tedavinin kesilmesi temel olarak gastrointestinal rahatsızlıklar özellikle diyare veya</w:t>
      </w:r>
      <w:r w:rsidR="003D4957" w:rsidRPr="009548E4">
        <w:rPr>
          <w:rFonts w:ascii="Times New Roman" w:eastAsia="TimesNewRoman,Bold" w:hAnsi="Times New Roman" w:cs="Times New Roman"/>
          <w:bCs/>
          <w:sz w:val="24"/>
          <w:szCs w:val="24"/>
        </w:rPr>
        <w:t xml:space="preserve"> bulantı nedeniyledir. Hastaların</w:t>
      </w:r>
      <w:r w:rsidRPr="009548E4">
        <w:rPr>
          <w:rFonts w:ascii="Times New Roman" w:eastAsia="TimesNewRoman,Bold" w:hAnsi="Times New Roman" w:cs="Times New Roman"/>
          <w:bCs/>
          <w:sz w:val="24"/>
          <w:szCs w:val="24"/>
        </w:rPr>
        <w:t xml:space="preserve"> bir kısmı da döküntüye bağlı olarak tedaviye son vermiştir.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Sıklıklarına göre yan etkilerin dağılımı şu şekildedir: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u w:val="single"/>
        </w:rPr>
        <w:t>% 1 veya daha fazla sıklıkta görülen yan etkiler:</w:t>
      </w:r>
      <w:r w:rsidRPr="009548E4">
        <w:rPr>
          <w:rFonts w:ascii="Times New Roman" w:eastAsia="TimesNewRoman,Bold" w:hAnsi="Times New Roman" w:cs="Times New Roman"/>
          <w:bCs/>
          <w:sz w:val="24"/>
          <w:szCs w:val="24"/>
        </w:rPr>
        <w:t xml:space="preserve"> Diyare, vajinal moniliyazis, bulantı, baş</w:t>
      </w:r>
      <w:r w:rsidR="003D4957"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ağrısı, karın ağrısı, vajinit.</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u w:val="single"/>
        </w:rPr>
        <w:t>&gt; %0.1 - &lt; %1 sıklığında görülen yan etkiler:</w:t>
      </w:r>
      <w:r w:rsidRPr="009548E4">
        <w:rPr>
          <w:rFonts w:ascii="Times New Roman" w:eastAsia="TimesNewRoman,Bold" w:hAnsi="Times New Roman" w:cs="Times New Roman"/>
          <w:bCs/>
          <w:sz w:val="24"/>
          <w:szCs w:val="24"/>
        </w:rPr>
        <w:t xml:space="preserve"> Döküntü, dispepsi, flatulans, kusma, dışkılama</w:t>
      </w:r>
      <w:r w:rsidR="003D4957"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bozukluğu, anoreksi, konstipasyon, sersemlik, ağız kuruluğu, asteni, uykusuzluk, lökore,</w:t>
      </w:r>
      <w:r w:rsidR="003D4957"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moniliyazis, kaş</w:t>
      </w:r>
      <w:r w:rsidR="003D4957" w:rsidRPr="009548E4">
        <w:rPr>
          <w:rFonts w:ascii="Times New Roman" w:eastAsia="TimesNewRoman,Bold" w:hAnsi="Times New Roman" w:cs="Times New Roman"/>
          <w:bCs/>
          <w:sz w:val="24"/>
          <w:szCs w:val="24"/>
        </w:rPr>
        <w:t>ın</w:t>
      </w:r>
      <w:r w:rsidRPr="009548E4">
        <w:rPr>
          <w:rFonts w:ascii="Times New Roman" w:eastAsia="TimesNewRoman,Bold" w:hAnsi="Times New Roman" w:cs="Times New Roman"/>
          <w:bCs/>
          <w:sz w:val="24"/>
          <w:szCs w:val="24"/>
        </w:rPr>
        <w:t>tı ve somnolanstır.</w:t>
      </w:r>
    </w:p>
    <w:p w:rsidR="003D4957" w:rsidRPr="009548E4" w:rsidRDefault="003D4957"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D73A11" w:rsidRPr="009548E4" w:rsidRDefault="00D73A11" w:rsidP="00D73A11">
      <w:pPr>
        <w:tabs>
          <w:tab w:val="left" w:pos="142"/>
          <w:tab w:val="left" w:pos="284"/>
          <w:tab w:val="left" w:pos="426"/>
        </w:tabs>
        <w:spacing w:after="0" w:line="360" w:lineRule="auto"/>
        <w:jc w:val="both"/>
        <w:rPr>
          <w:rFonts w:ascii="Times New Roman" w:hAnsi="Times New Roman"/>
          <w:sz w:val="24"/>
          <w:szCs w:val="24"/>
          <w:u w:val="single"/>
          <w:lang w:eastAsia="nl-NL"/>
        </w:rPr>
      </w:pPr>
      <w:r w:rsidRPr="009548E4">
        <w:rPr>
          <w:rFonts w:ascii="Times New Roman" w:hAnsi="Times New Roman" w:hint="eastAsia"/>
          <w:sz w:val="24"/>
          <w:szCs w:val="24"/>
          <w:u w:val="single"/>
          <w:lang w:eastAsia="nl-NL"/>
        </w:rPr>
        <w:t>Ş</w:t>
      </w:r>
      <w:r w:rsidRPr="009548E4">
        <w:rPr>
          <w:rFonts w:ascii="Times New Roman" w:hAnsi="Times New Roman"/>
          <w:sz w:val="24"/>
          <w:szCs w:val="24"/>
          <w:u w:val="single"/>
          <w:lang w:eastAsia="nl-NL"/>
        </w:rPr>
        <w:t>üpheli advers reaksiyonlar</w:t>
      </w:r>
      <w:r w:rsidRPr="009548E4">
        <w:rPr>
          <w:rFonts w:ascii="Times New Roman" w:hAnsi="Times New Roman" w:hint="eastAsia"/>
          <w:sz w:val="24"/>
          <w:szCs w:val="24"/>
          <w:u w:val="single"/>
          <w:lang w:eastAsia="nl-NL"/>
        </w:rPr>
        <w:t>ı</w:t>
      </w:r>
      <w:r w:rsidRPr="009548E4">
        <w:rPr>
          <w:rFonts w:ascii="Times New Roman" w:hAnsi="Times New Roman"/>
          <w:sz w:val="24"/>
          <w:szCs w:val="24"/>
          <w:u w:val="single"/>
          <w:lang w:eastAsia="nl-NL"/>
        </w:rPr>
        <w:t>n raporlanmas</w:t>
      </w:r>
      <w:r w:rsidRPr="009548E4">
        <w:rPr>
          <w:rFonts w:ascii="Times New Roman" w:hAnsi="Times New Roman" w:hint="eastAsia"/>
          <w:sz w:val="24"/>
          <w:szCs w:val="24"/>
          <w:u w:val="single"/>
          <w:lang w:eastAsia="nl-NL"/>
        </w:rPr>
        <w:t>ı</w:t>
      </w:r>
    </w:p>
    <w:p w:rsidR="00D73A11" w:rsidRPr="009548E4" w:rsidRDefault="00D73A11" w:rsidP="00D73A11">
      <w:pPr>
        <w:tabs>
          <w:tab w:val="left" w:pos="142"/>
          <w:tab w:val="left" w:pos="284"/>
          <w:tab w:val="left" w:pos="426"/>
        </w:tabs>
        <w:spacing w:after="0" w:line="360" w:lineRule="auto"/>
        <w:jc w:val="both"/>
        <w:rPr>
          <w:rFonts w:ascii="Times New Roman" w:hAnsi="Times New Roman"/>
          <w:sz w:val="24"/>
          <w:szCs w:val="24"/>
          <w:lang w:eastAsia="nl-NL"/>
        </w:rPr>
      </w:pPr>
      <w:r w:rsidRPr="009548E4">
        <w:rPr>
          <w:rFonts w:ascii="Times New Roman" w:hAnsi="Times New Roman"/>
          <w:sz w:val="24"/>
          <w:szCs w:val="24"/>
          <w:lang w:eastAsia="nl-NL"/>
        </w:rPr>
        <w:t>Ruhsatland</w:t>
      </w:r>
      <w:r w:rsidRPr="009548E4">
        <w:rPr>
          <w:rFonts w:ascii="Times New Roman" w:hAnsi="Times New Roman" w:hint="eastAsia"/>
          <w:sz w:val="24"/>
          <w:szCs w:val="24"/>
          <w:lang w:eastAsia="nl-NL"/>
        </w:rPr>
        <w:t>ı</w:t>
      </w:r>
      <w:r w:rsidRPr="009548E4">
        <w:rPr>
          <w:rFonts w:ascii="Times New Roman" w:hAnsi="Times New Roman"/>
          <w:sz w:val="24"/>
          <w:szCs w:val="24"/>
          <w:lang w:eastAsia="nl-NL"/>
        </w:rPr>
        <w:t>rma sonras</w:t>
      </w:r>
      <w:r w:rsidRPr="009548E4">
        <w:rPr>
          <w:rFonts w:ascii="Times New Roman" w:hAnsi="Times New Roman" w:hint="eastAsia"/>
          <w:sz w:val="24"/>
          <w:szCs w:val="24"/>
          <w:lang w:eastAsia="nl-NL"/>
        </w:rPr>
        <w:t>ı</w:t>
      </w:r>
      <w:r w:rsidRPr="009548E4">
        <w:rPr>
          <w:rFonts w:ascii="Times New Roman" w:hAnsi="Times New Roman"/>
          <w:sz w:val="24"/>
          <w:szCs w:val="24"/>
          <w:lang w:eastAsia="nl-NL"/>
        </w:rPr>
        <w:t xml:space="preserve"> </w:t>
      </w:r>
      <w:r w:rsidRPr="009548E4">
        <w:rPr>
          <w:rFonts w:ascii="Times New Roman" w:hAnsi="Times New Roman" w:hint="eastAsia"/>
          <w:sz w:val="24"/>
          <w:szCs w:val="24"/>
          <w:lang w:eastAsia="nl-NL"/>
        </w:rPr>
        <w:t>ş</w:t>
      </w:r>
      <w:r w:rsidRPr="009548E4">
        <w:rPr>
          <w:rFonts w:ascii="Times New Roman" w:hAnsi="Times New Roman"/>
          <w:sz w:val="24"/>
          <w:szCs w:val="24"/>
          <w:lang w:eastAsia="nl-NL"/>
        </w:rPr>
        <w:t>üpheli ilaç advers reaksiyonlar</w:t>
      </w:r>
      <w:r w:rsidRPr="009548E4">
        <w:rPr>
          <w:rFonts w:ascii="Times New Roman" w:hAnsi="Times New Roman" w:hint="eastAsia"/>
          <w:sz w:val="24"/>
          <w:szCs w:val="24"/>
          <w:lang w:eastAsia="nl-NL"/>
        </w:rPr>
        <w:t>ı</w:t>
      </w:r>
      <w:r w:rsidRPr="009548E4">
        <w:rPr>
          <w:rFonts w:ascii="Times New Roman" w:hAnsi="Times New Roman"/>
          <w:sz w:val="24"/>
          <w:szCs w:val="24"/>
          <w:lang w:eastAsia="nl-NL"/>
        </w:rPr>
        <w:t>n</w:t>
      </w:r>
      <w:r w:rsidRPr="009548E4">
        <w:rPr>
          <w:rFonts w:ascii="Times New Roman" w:hAnsi="Times New Roman" w:hint="eastAsia"/>
          <w:sz w:val="24"/>
          <w:szCs w:val="24"/>
          <w:lang w:eastAsia="nl-NL"/>
        </w:rPr>
        <w:t>ı</w:t>
      </w:r>
      <w:r w:rsidRPr="009548E4">
        <w:rPr>
          <w:rFonts w:ascii="Times New Roman" w:hAnsi="Times New Roman"/>
          <w:sz w:val="24"/>
          <w:szCs w:val="24"/>
          <w:lang w:eastAsia="nl-NL"/>
        </w:rPr>
        <w:t>n raporlanmas</w:t>
      </w:r>
      <w:r w:rsidRPr="009548E4">
        <w:rPr>
          <w:rFonts w:ascii="Times New Roman" w:hAnsi="Times New Roman" w:hint="eastAsia"/>
          <w:sz w:val="24"/>
          <w:szCs w:val="24"/>
          <w:lang w:eastAsia="nl-NL"/>
        </w:rPr>
        <w:t>ı</w:t>
      </w:r>
      <w:r w:rsidRPr="009548E4">
        <w:rPr>
          <w:rFonts w:ascii="Times New Roman" w:hAnsi="Times New Roman"/>
          <w:sz w:val="24"/>
          <w:szCs w:val="24"/>
          <w:lang w:eastAsia="nl-NL"/>
        </w:rPr>
        <w:t xml:space="preserve"> büyük önem ta</w:t>
      </w:r>
      <w:r w:rsidRPr="009548E4">
        <w:rPr>
          <w:rFonts w:ascii="Times New Roman" w:hAnsi="Times New Roman" w:hint="eastAsia"/>
          <w:sz w:val="24"/>
          <w:szCs w:val="24"/>
          <w:lang w:eastAsia="nl-NL"/>
        </w:rPr>
        <w:t>şı</w:t>
      </w:r>
      <w:r w:rsidRPr="009548E4">
        <w:rPr>
          <w:rFonts w:ascii="Times New Roman" w:hAnsi="Times New Roman"/>
          <w:sz w:val="24"/>
          <w:szCs w:val="24"/>
          <w:lang w:eastAsia="nl-NL"/>
        </w:rPr>
        <w:t>maktad</w:t>
      </w:r>
      <w:r w:rsidRPr="009548E4">
        <w:rPr>
          <w:rFonts w:ascii="Times New Roman" w:hAnsi="Times New Roman" w:hint="eastAsia"/>
          <w:sz w:val="24"/>
          <w:szCs w:val="24"/>
          <w:lang w:eastAsia="nl-NL"/>
        </w:rPr>
        <w:t>ı</w:t>
      </w:r>
      <w:r w:rsidRPr="009548E4">
        <w:rPr>
          <w:rFonts w:ascii="Times New Roman" w:hAnsi="Times New Roman"/>
          <w:sz w:val="24"/>
          <w:szCs w:val="24"/>
          <w:lang w:eastAsia="nl-NL"/>
        </w:rPr>
        <w:t>r. Raporlama yap</w:t>
      </w:r>
      <w:r w:rsidRPr="009548E4">
        <w:rPr>
          <w:rFonts w:ascii="Times New Roman" w:hAnsi="Times New Roman" w:hint="eastAsia"/>
          <w:sz w:val="24"/>
          <w:szCs w:val="24"/>
          <w:lang w:eastAsia="nl-NL"/>
        </w:rPr>
        <w:t>ı</w:t>
      </w:r>
      <w:r w:rsidRPr="009548E4">
        <w:rPr>
          <w:rFonts w:ascii="Times New Roman" w:hAnsi="Times New Roman"/>
          <w:sz w:val="24"/>
          <w:szCs w:val="24"/>
          <w:lang w:eastAsia="nl-NL"/>
        </w:rPr>
        <w:t>lmas</w:t>
      </w:r>
      <w:r w:rsidRPr="009548E4">
        <w:rPr>
          <w:rFonts w:ascii="Times New Roman" w:hAnsi="Times New Roman" w:hint="eastAsia"/>
          <w:sz w:val="24"/>
          <w:szCs w:val="24"/>
          <w:lang w:eastAsia="nl-NL"/>
        </w:rPr>
        <w:t>ı</w:t>
      </w:r>
      <w:r w:rsidRPr="009548E4">
        <w:rPr>
          <w:rFonts w:ascii="Times New Roman" w:hAnsi="Times New Roman"/>
          <w:sz w:val="24"/>
          <w:szCs w:val="24"/>
          <w:lang w:eastAsia="nl-NL"/>
        </w:rPr>
        <w:t>, ilac</w:t>
      </w:r>
      <w:r w:rsidRPr="009548E4">
        <w:rPr>
          <w:rFonts w:ascii="Times New Roman" w:hAnsi="Times New Roman" w:hint="eastAsia"/>
          <w:sz w:val="24"/>
          <w:szCs w:val="24"/>
          <w:lang w:eastAsia="nl-NL"/>
        </w:rPr>
        <w:t>ı</w:t>
      </w:r>
      <w:r w:rsidRPr="009548E4">
        <w:rPr>
          <w:rFonts w:ascii="Times New Roman" w:hAnsi="Times New Roman"/>
          <w:sz w:val="24"/>
          <w:szCs w:val="24"/>
          <w:lang w:eastAsia="nl-NL"/>
        </w:rPr>
        <w:t>n yarar/risk dengesinin sürekli olarak izlenmesine olanak sa</w:t>
      </w:r>
      <w:r w:rsidRPr="009548E4">
        <w:rPr>
          <w:rFonts w:ascii="Times New Roman" w:hAnsi="Times New Roman" w:hint="eastAsia"/>
          <w:sz w:val="24"/>
          <w:szCs w:val="24"/>
          <w:lang w:eastAsia="nl-NL"/>
        </w:rPr>
        <w:t>ğ</w:t>
      </w:r>
      <w:r w:rsidRPr="009548E4">
        <w:rPr>
          <w:rFonts w:ascii="Times New Roman" w:hAnsi="Times New Roman"/>
          <w:sz w:val="24"/>
          <w:szCs w:val="24"/>
          <w:lang w:eastAsia="nl-NL"/>
        </w:rPr>
        <w:t>lar. Sa</w:t>
      </w:r>
      <w:r w:rsidRPr="009548E4">
        <w:rPr>
          <w:rFonts w:ascii="Times New Roman" w:hAnsi="Times New Roman" w:hint="eastAsia"/>
          <w:sz w:val="24"/>
          <w:szCs w:val="24"/>
          <w:lang w:eastAsia="nl-NL"/>
        </w:rPr>
        <w:t>ğ</w:t>
      </w:r>
      <w:r w:rsidRPr="009548E4">
        <w:rPr>
          <w:rFonts w:ascii="Times New Roman" w:hAnsi="Times New Roman"/>
          <w:sz w:val="24"/>
          <w:szCs w:val="24"/>
          <w:lang w:eastAsia="nl-NL"/>
        </w:rPr>
        <w:t>l</w:t>
      </w:r>
      <w:r w:rsidRPr="009548E4">
        <w:rPr>
          <w:rFonts w:ascii="Times New Roman" w:hAnsi="Times New Roman" w:hint="eastAsia"/>
          <w:sz w:val="24"/>
          <w:szCs w:val="24"/>
          <w:lang w:eastAsia="nl-NL"/>
        </w:rPr>
        <w:t>ı</w:t>
      </w:r>
      <w:r w:rsidRPr="009548E4">
        <w:rPr>
          <w:rFonts w:ascii="Times New Roman" w:hAnsi="Times New Roman"/>
          <w:sz w:val="24"/>
          <w:szCs w:val="24"/>
          <w:lang w:eastAsia="nl-NL"/>
        </w:rPr>
        <w:t>k mesle</w:t>
      </w:r>
      <w:r w:rsidRPr="009548E4">
        <w:rPr>
          <w:rFonts w:ascii="Times New Roman" w:hAnsi="Times New Roman" w:hint="eastAsia"/>
          <w:sz w:val="24"/>
          <w:szCs w:val="24"/>
          <w:lang w:eastAsia="nl-NL"/>
        </w:rPr>
        <w:t>ğ</w:t>
      </w:r>
      <w:r w:rsidRPr="009548E4">
        <w:rPr>
          <w:rFonts w:ascii="Times New Roman" w:hAnsi="Times New Roman"/>
          <w:sz w:val="24"/>
          <w:szCs w:val="24"/>
          <w:lang w:eastAsia="nl-NL"/>
        </w:rPr>
        <w:t>i mensuplar</w:t>
      </w:r>
      <w:r w:rsidRPr="009548E4">
        <w:rPr>
          <w:rFonts w:ascii="Times New Roman" w:hAnsi="Times New Roman" w:hint="eastAsia"/>
          <w:sz w:val="24"/>
          <w:szCs w:val="24"/>
          <w:lang w:eastAsia="nl-NL"/>
        </w:rPr>
        <w:t>ı</w:t>
      </w:r>
      <w:r w:rsidRPr="009548E4">
        <w:rPr>
          <w:rFonts w:ascii="Times New Roman" w:hAnsi="Times New Roman"/>
          <w:sz w:val="24"/>
          <w:szCs w:val="24"/>
          <w:lang w:eastAsia="nl-NL"/>
        </w:rPr>
        <w:t>n</w:t>
      </w:r>
      <w:r w:rsidRPr="009548E4">
        <w:rPr>
          <w:rFonts w:ascii="Times New Roman" w:hAnsi="Times New Roman" w:hint="eastAsia"/>
          <w:sz w:val="24"/>
          <w:szCs w:val="24"/>
          <w:lang w:eastAsia="nl-NL"/>
        </w:rPr>
        <w:t>ı</w:t>
      </w:r>
      <w:r w:rsidRPr="009548E4">
        <w:rPr>
          <w:rFonts w:ascii="Times New Roman" w:hAnsi="Times New Roman"/>
          <w:sz w:val="24"/>
          <w:szCs w:val="24"/>
          <w:lang w:eastAsia="nl-NL"/>
        </w:rPr>
        <w:t xml:space="preserve">n herhangi bir </w:t>
      </w:r>
      <w:r w:rsidRPr="009548E4">
        <w:rPr>
          <w:rFonts w:ascii="Times New Roman" w:hAnsi="Times New Roman" w:hint="eastAsia"/>
          <w:sz w:val="24"/>
          <w:szCs w:val="24"/>
          <w:lang w:eastAsia="nl-NL"/>
        </w:rPr>
        <w:t>şü</w:t>
      </w:r>
      <w:r w:rsidRPr="009548E4">
        <w:rPr>
          <w:rFonts w:ascii="Times New Roman" w:hAnsi="Times New Roman"/>
          <w:sz w:val="24"/>
          <w:szCs w:val="24"/>
          <w:lang w:eastAsia="nl-NL"/>
        </w:rPr>
        <w:t>pheli advers reaksiyonu Türkiye Farmakovijilans Merkezi (TÜFAM)'ne bildirmeleri gerekmektedir. (</w:t>
      </w:r>
      <w:r w:rsidRPr="009548E4">
        <w:rPr>
          <w:rFonts w:ascii="Times New Roman" w:hAnsi="Times New Roman"/>
          <w:sz w:val="24"/>
          <w:szCs w:val="24"/>
          <w:u w:val="single"/>
          <w:lang w:eastAsia="nl-NL"/>
        </w:rPr>
        <w:t>www.titck.gov.tr</w:t>
      </w:r>
      <w:r w:rsidRPr="009548E4">
        <w:rPr>
          <w:rFonts w:ascii="Times New Roman" w:hAnsi="Times New Roman"/>
          <w:sz w:val="24"/>
          <w:szCs w:val="24"/>
          <w:lang w:eastAsia="nl-NL"/>
        </w:rPr>
        <w:t xml:space="preserve">;          e-posta: </w:t>
      </w:r>
      <w:r w:rsidRPr="009548E4">
        <w:rPr>
          <w:rFonts w:ascii="Times New Roman" w:hAnsi="Times New Roman"/>
          <w:sz w:val="24"/>
          <w:szCs w:val="24"/>
          <w:u w:val="single"/>
          <w:lang w:eastAsia="nl-NL"/>
        </w:rPr>
        <w:t>tufam@titck.gov.tr</w:t>
      </w:r>
      <w:r w:rsidRPr="009548E4">
        <w:rPr>
          <w:rFonts w:ascii="Times New Roman" w:hAnsi="Times New Roman"/>
          <w:sz w:val="24"/>
          <w:szCs w:val="24"/>
          <w:lang w:eastAsia="nl-NL"/>
        </w:rPr>
        <w:t>; tel: 0 800 314 00 08; faks: 0 312 218 35 99)</w:t>
      </w:r>
    </w:p>
    <w:p w:rsidR="00D73A11" w:rsidRPr="009548E4" w:rsidRDefault="00D73A11"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4.9</w:t>
      </w:r>
      <w:r w:rsidRPr="009548E4">
        <w:rPr>
          <w:rFonts w:ascii="Times New Roman" w:eastAsia="TimesNewRoman,Bold" w:hAnsi="Times New Roman" w:cs="Times New Roman"/>
          <w:b/>
          <w:bCs/>
          <w:sz w:val="24"/>
          <w:szCs w:val="24"/>
        </w:rPr>
        <w:tab/>
        <w:t>Doz aşımı ve tedavisi</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İnsanlarda sefdinirin doz aşımı ile ilgili bilgi bulunmamaktadır. Diğer beta-laktam antibiyotiklerin doz aşımını takiben görülen belirtiler bulantı, kusma, epigastrik ağrı, diyare ve konvulsiyonlardır. Hemodiyaliz ile sefdinir vücuttan uzaklaştırılır.</w:t>
      </w:r>
    </w:p>
    <w:p w:rsidR="003D4957" w:rsidRPr="009548E4" w:rsidRDefault="003D4957"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3D4957"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lastRenderedPageBreak/>
        <w:t>5.</w:t>
      </w:r>
      <w:r w:rsidR="003D4957" w:rsidRPr="009548E4">
        <w:rPr>
          <w:rFonts w:ascii="Times New Roman" w:eastAsia="TimesNewRoman,Bold" w:hAnsi="Times New Roman" w:cs="Times New Roman"/>
          <w:b/>
          <w:bCs/>
          <w:sz w:val="24"/>
          <w:szCs w:val="24"/>
        </w:rPr>
        <w:tab/>
      </w:r>
      <w:r w:rsidRPr="009548E4">
        <w:rPr>
          <w:rFonts w:ascii="Times New Roman" w:eastAsia="TimesNewRoman,Bold" w:hAnsi="Times New Roman" w:cs="Times New Roman"/>
          <w:b/>
          <w:bCs/>
          <w:sz w:val="24"/>
          <w:szCs w:val="24"/>
        </w:rPr>
        <w:t xml:space="preserve">FARMAKOLOJİK ÖZELLİKLER </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5.1</w:t>
      </w:r>
      <w:r w:rsidR="003D4957" w:rsidRPr="009548E4">
        <w:rPr>
          <w:rFonts w:ascii="Times New Roman" w:eastAsia="TimesNewRoman,Bold" w:hAnsi="Times New Roman" w:cs="Times New Roman"/>
          <w:b/>
          <w:bCs/>
          <w:sz w:val="24"/>
          <w:szCs w:val="24"/>
        </w:rPr>
        <w:tab/>
      </w:r>
      <w:r w:rsidRPr="009548E4">
        <w:rPr>
          <w:rFonts w:ascii="Times New Roman" w:eastAsia="TimesNewRoman,Bold" w:hAnsi="Times New Roman" w:cs="Times New Roman"/>
          <w:b/>
          <w:bCs/>
          <w:sz w:val="24"/>
          <w:szCs w:val="24"/>
        </w:rPr>
        <w:t>Farmakodinamik özellikler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Farmakoterapötik grup: Sistemik antibakteriyeller, üçüncü kuşak sefalosporinler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ATCkodu:J01DD15</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Diğer sefalosporinlerle olduğu gibi sefdinirin bakterisidal aktivitesi hücre duvarı sentezinin</w:t>
      </w:r>
      <w:r w:rsidR="009F4066"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inhibisyonu ile meydana gelir. Sefdinir bazı beta-laktamaz enzimlerinin varlığında stabildir.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Sonuç olarak penisilinlere ve bazı sefalosporinlere dirençli birçok organizma sefdinire</w:t>
      </w:r>
      <w:r w:rsidR="009F4066"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duyarlıdır.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Sefdinirin aşağıdaki mikroorganizmaların bi</w:t>
      </w:r>
      <w:r w:rsidR="005D52A5" w:rsidRPr="009548E4">
        <w:rPr>
          <w:rFonts w:ascii="Times New Roman" w:eastAsia="TimesNewRoman,Bold" w:hAnsi="Times New Roman" w:cs="Times New Roman"/>
          <w:bCs/>
          <w:sz w:val="24"/>
          <w:szCs w:val="24"/>
        </w:rPr>
        <w:t>rçok suş</w:t>
      </w:r>
      <w:r w:rsidRPr="009548E4">
        <w:rPr>
          <w:rFonts w:ascii="Times New Roman" w:eastAsia="TimesNewRoman,Bold" w:hAnsi="Times New Roman" w:cs="Times New Roman"/>
          <w:bCs/>
          <w:sz w:val="24"/>
          <w:szCs w:val="24"/>
        </w:rPr>
        <w:t>u üzerinde etkili olduğu gösterilmiştir:</w:t>
      </w:r>
    </w:p>
    <w:p w:rsidR="00DD6564"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u w:val="single"/>
        </w:rPr>
      </w:pPr>
      <w:r w:rsidRPr="009548E4">
        <w:rPr>
          <w:rFonts w:ascii="Times New Roman" w:eastAsia="TimesNewRoman,Bold" w:hAnsi="Times New Roman" w:cs="Times New Roman"/>
          <w:bCs/>
          <w:sz w:val="24"/>
          <w:szCs w:val="24"/>
          <w:u w:val="single"/>
        </w:rPr>
        <w:t xml:space="preserve">Aerobik Gram-Pozitif Mikroorganizmalar: </w:t>
      </w:r>
    </w:p>
    <w:p w:rsidR="00DD6564"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i/>
          <w:sz w:val="24"/>
          <w:szCs w:val="24"/>
        </w:rPr>
        <w:t>Staphylococcus aureus</w:t>
      </w:r>
      <w:r w:rsidRPr="009548E4">
        <w:rPr>
          <w:rFonts w:ascii="Times New Roman" w:eastAsia="TimesNewRoman,Bold" w:hAnsi="Times New Roman" w:cs="Times New Roman"/>
          <w:bCs/>
          <w:sz w:val="24"/>
          <w:szCs w:val="24"/>
        </w:rPr>
        <w:t xml:space="preserve"> (beta-laktamaz üreten suşlar dahil) </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Not: Sefdinir metisiline dirençli stafilokoklara karşı inaktiftir.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i/>
          <w:sz w:val="24"/>
          <w:szCs w:val="24"/>
        </w:rPr>
        <w:t>Streptococcus pneumoniae</w:t>
      </w:r>
      <w:r w:rsidRPr="009548E4">
        <w:rPr>
          <w:rFonts w:ascii="Times New Roman" w:eastAsia="TimesNewRoman,Bold" w:hAnsi="Times New Roman" w:cs="Times New Roman"/>
          <w:bCs/>
          <w:sz w:val="24"/>
          <w:szCs w:val="24"/>
        </w:rPr>
        <w:t xml:space="preserve"> (sadece penisiline duyarlı suşlar)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i/>
          <w:sz w:val="24"/>
          <w:szCs w:val="24"/>
        </w:rPr>
      </w:pPr>
      <w:r w:rsidRPr="009548E4">
        <w:rPr>
          <w:rFonts w:ascii="Times New Roman" w:eastAsia="TimesNewRoman,Bold" w:hAnsi="Times New Roman" w:cs="Times New Roman"/>
          <w:bCs/>
          <w:i/>
          <w:sz w:val="24"/>
          <w:szCs w:val="24"/>
        </w:rPr>
        <w:t>Streptococcus pyogenes</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i/>
          <w:sz w:val="24"/>
          <w:szCs w:val="24"/>
        </w:rPr>
        <w:t>Staphylococcus epidermidis</w:t>
      </w:r>
      <w:r w:rsidRPr="009548E4">
        <w:rPr>
          <w:rFonts w:ascii="Times New Roman" w:eastAsia="TimesNewRoman,Bold" w:hAnsi="Times New Roman" w:cs="Times New Roman"/>
          <w:bCs/>
          <w:sz w:val="24"/>
          <w:szCs w:val="24"/>
        </w:rPr>
        <w:t xml:space="preserve"> (sadece metisiline duyarlı suşlar)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i/>
          <w:sz w:val="24"/>
          <w:szCs w:val="24"/>
        </w:rPr>
      </w:pPr>
      <w:r w:rsidRPr="009548E4">
        <w:rPr>
          <w:rFonts w:ascii="Times New Roman" w:eastAsia="TimesNewRoman,Bold" w:hAnsi="Times New Roman" w:cs="Times New Roman"/>
          <w:bCs/>
          <w:i/>
          <w:sz w:val="24"/>
          <w:szCs w:val="24"/>
        </w:rPr>
        <w:t>Streptococcus agalactiae</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Viridans grubu streptokoklar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 xml:space="preserve">Not: Sefdinir </w:t>
      </w:r>
      <w:r w:rsidRPr="009548E4">
        <w:rPr>
          <w:rFonts w:ascii="Times New Roman" w:eastAsia="TimesNewRoman,Bold" w:hAnsi="Times New Roman" w:cs="Times New Roman"/>
          <w:bCs/>
          <w:i/>
          <w:sz w:val="24"/>
          <w:szCs w:val="24"/>
        </w:rPr>
        <w:t>Enterococcus</w:t>
      </w:r>
      <w:r w:rsidRPr="009548E4">
        <w:rPr>
          <w:rFonts w:ascii="Times New Roman" w:eastAsia="TimesNewRoman,Bold" w:hAnsi="Times New Roman" w:cs="Times New Roman"/>
          <w:bCs/>
          <w:sz w:val="24"/>
          <w:szCs w:val="24"/>
        </w:rPr>
        <w:t xml:space="preserve"> ve metisiline dirençli </w:t>
      </w:r>
      <w:r w:rsidRPr="009548E4">
        <w:rPr>
          <w:rFonts w:ascii="Times New Roman" w:eastAsia="TimesNewRoman,Bold" w:hAnsi="Times New Roman" w:cs="Times New Roman"/>
          <w:bCs/>
          <w:i/>
          <w:sz w:val="24"/>
          <w:szCs w:val="24"/>
        </w:rPr>
        <w:t>Staphylococcus</w:t>
      </w:r>
      <w:r w:rsidRPr="009548E4">
        <w:rPr>
          <w:rFonts w:ascii="Times New Roman" w:eastAsia="TimesNewRoman,Bold" w:hAnsi="Times New Roman" w:cs="Times New Roman"/>
          <w:bCs/>
          <w:sz w:val="24"/>
          <w:szCs w:val="24"/>
        </w:rPr>
        <w:t xml:space="preserve"> türlerine karşı inaktiftir.</w:t>
      </w:r>
    </w:p>
    <w:p w:rsidR="005D52A5"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u w:val="single"/>
        </w:rPr>
      </w:pPr>
      <w:r w:rsidRPr="009548E4">
        <w:rPr>
          <w:rFonts w:ascii="Times New Roman" w:eastAsia="TimesNewRoman,Bold" w:hAnsi="Times New Roman" w:cs="Times New Roman"/>
          <w:bCs/>
          <w:sz w:val="24"/>
          <w:szCs w:val="24"/>
          <w:u w:val="single"/>
        </w:rPr>
        <w:t xml:space="preserve">Aerobik Gram-Negatif Mikroorganizmalar: </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i/>
          <w:sz w:val="24"/>
          <w:szCs w:val="24"/>
        </w:rPr>
        <w:t>Haemophilus influenzae</w:t>
      </w:r>
      <w:r w:rsidRPr="009548E4">
        <w:rPr>
          <w:rFonts w:ascii="Times New Roman" w:eastAsia="TimesNewRoman,Bold" w:hAnsi="Times New Roman" w:cs="Times New Roman"/>
          <w:bCs/>
          <w:sz w:val="24"/>
          <w:szCs w:val="24"/>
        </w:rPr>
        <w:t xml:space="preserve"> (beta-laktamaz üreten suşlar dahil)</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i/>
          <w:sz w:val="24"/>
          <w:szCs w:val="24"/>
        </w:rPr>
        <w:t>Haemophilus parainfluenzae</w:t>
      </w:r>
      <w:r w:rsidRPr="009548E4">
        <w:rPr>
          <w:rFonts w:ascii="Times New Roman" w:eastAsia="TimesNewRoman,Bold" w:hAnsi="Times New Roman" w:cs="Times New Roman"/>
          <w:bCs/>
          <w:sz w:val="24"/>
          <w:szCs w:val="24"/>
        </w:rPr>
        <w:t xml:space="preserve"> (beta-laktamaz üreten suşlar dahil)</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i/>
          <w:sz w:val="24"/>
          <w:szCs w:val="24"/>
        </w:rPr>
        <w:t>Morcocella catarrhalis</w:t>
      </w:r>
      <w:r w:rsidRPr="009548E4">
        <w:rPr>
          <w:rFonts w:ascii="Times New Roman" w:eastAsia="TimesNewRoman,Bold" w:hAnsi="Times New Roman" w:cs="Times New Roman"/>
          <w:bCs/>
          <w:sz w:val="24"/>
          <w:szCs w:val="24"/>
        </w:rPr>
        <w:t xml:space="preserve"> (beta-laktamaz üreten suşlar dahil)</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i/>
          <w:sz w:val="24"/>
          <w:szCs w:val="24"/>
        </w:rPr>
      </w:pPr>
      <w:r w:rsidRPr="009548E4">
        <w:rPr>
          <w:rFonts w:ascii="Times New Roman" w:eastAsia="TimesNewRoman,Bold" w:hAnsi="Times New Roman" w:cs="Times New Roman"/>
          <w:bCs/>
          <w:i/>
          <w:sz w:val="24"/>
          <w:szCs w:val="24"/>
        </w:rPr>
        <w:t>Citrobacter diversus</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i/>
          <w:sz w:val="24"/>
          <w:szCs w:val="24"/>
        </w:rPr>
      </w:pPr>
      <w:r w:rsidRPr="009548E4">
        <w:rPr>
          <w:rFonts w:ascii="Times New Roman" w:eastAsia="TimesNewRoman,Bold" w:hAnsi="Times New Roman" w:cs="Times New Roman"/>
          <w:bCs/>
          <w:i/>
          <w:sz w:val="24"/>
          <w:szCs w:val="24"/>
        </w:rPr>
        <w:t>Escherichia coli</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i/>
          <w:sz w:val="24"/>
          <w:szCs w:val="24"/>
        </w:rPr>
      </w:pPr>
      <w:r w:rsidRPr="009548E4">
        <w:rPr>
          <w:rFonts w:ascii="Times New Roman" w:eastAsia="TimesNewRoman,Bold" w:hAnsi="Times New Roman" w:cs="Times New Roman"/>
          <w:bCs/>
          <w:i/>
          <w:sz w:val="24"/>
          <w:szCs w:val="24"/>
        </w:rPr>
        <w:t>Klebsiella pneumoniae</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i/>
          <w:sz w:val="24"/>
          <w:szCs w:val="24"/>
        </w:rPr>
      </w:pPr>
      <w:r w:rsidRPr="009548E4">
        <w:rPr>
          <w:rFonts w:ascii="Times New Roman" w:eastAsia="TimesNewRoman,Bold" w:hAnsi="Times New Roman" w:cs="Times New Roman"/>
          <w:bCs/>
          <w:i/>
          <w:sz w:val="24"/>
          <w:szCs w:val="24"/>
        </w:rPr>
        <w:t>Proteus mirabilis</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 xml:space="preserve">Not: Sefdinir </w:t>
      </w:r>
      <w:r w:rsidRPr="009548E4">
        <w:rPr>
          <w:rFonts w:ascii="Times New Roman" w:eastAsia="TimesNewRoman,Bold" w:hAnsi="Times New Roman" w:cs="Times New Roman"/>
          <w:bCs/>
          <w:i/>
          <w:sz w:val="24"/>
          <w:szCs w:val="24"/>
        </w:rPr>
        <w:t>Pseudomonas</w:t>
      </w:r>
      <w:r w:rsidRPr="009548E4">
        <w:rPr>
          <w:rFonts w:ascii="Times New Roman" w:eastAsia="TimesNewRoman,Bold" w:hAnsi="Times New Roman" w:cs="Times New Roman"/>
          <w:bCs/>
          <w:sz w:val="24"/>
          <w:szCs w:val="24"/>
        </w:rPr>
        <w:t xml:space="preserve"> ve </w:t>
      </w:r>
      <w:r w:rsidRPr="009548E4">
        <w:rPr>
          <w:rFonts w:ascii="Times New Roman" w:eastAsia="TimesNewRoman,Bold" w:hAnsi="Times New Roman" w:cs="Times New Roman"/>
          <w:bCs/>
          <w:i/>
          <w:sz w:val="24"/>
          <w:szCs w:val="24"/>
        </w:rPr>
        <w:t xml:space="preserve">Enterobacter </w:t>
      </w:r>
      <w:r w:rsidRPr="009548E4">
        <w:rPr>
          <w:rFonts w:ascii="Times New Roman" w:eastAsia="TimesNewRoman,Bold" w:hAnsi="Times New Roman" w:cs="Times New Roman"/>
          <w:bCs/>
          <w:sz w:val="24"/>
          <w:szCs w:val="24"/>
        </w:rPr>
        <w:t>türlerine karşı inaktiftir.</w:t>
      </w:r>
    </w:p>
    <w:p w:rsidR="005D52A5" w:rsidRPr="009548E4" w:rsidRDefault="005D52A5"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5D52A5" w:rsidRPr="009548E4" w:rsidRDefault="005D52A5"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5.2</w:t>
      </w:r>
      <w:r w:rsidRPr="009548E4">
        <w:rPr>
          <w:rFonts w:ascii="Times New Roman" w:eastAsia="TimesNewRoman,Bold" w:hAnsi="Times New Roman" w:cs="Times New Roman"/>
          <w:b/>
          <w:bCs/>
          <w:sz w:val="24"/>
          <w:szCs w:val="24"/>
        </w:rPr>
        <w:tab/>
      </w:r>
      <w:r w:rsidR="00B8431B" w:rsidRPr="009548E4">
        <w:rPr>
          <w:rFonts w:ascii="Times New Roman" w:eastAsia="TimesNewRoman,Bold" w:hAnsi="Times New Roman" w:cs="Times New Roman"/>
          <w:b/>
          <w:bCs/>
          <w:sz w:val="24"/>
          <w:szCs w:val="24"/>
        </w:rPr>
        <w:t xml:space="preserve">Farmakokinetik özellikler </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Genel özellikler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u w:val="single"/>
        </w:rPr>
      </w:pPr>
      <w:r w:rsidRPr="009548E4">
        <w:rPr>
          <w:rFonts w:ascii="Times New Roman" w:eastAsia="TimesNewRoman,Bold" w:hAnsi="Times New Roman" w:cs="Times New Roman"/>
          <w:bCs/>
          <w:sz w:val="24"/>
          <w:szCs w:val="24"/>
          <w:u w:val="single"/>
        </w:rPr>
        <w:t>Emilim:</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Sefdinir oral uygulamadan 2-4 saat sonra doruk plazma konsantrasyonlarına ulaşır. Sefdinir</w:t>
      </w:r>
      <w:r w:rsidR="005D52A5"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kapsüllerin tahmin edilen biyoyararlanımı 300 mg kapsül dozunun uygulanmasını takiben</w:t>
      </w:r>
      <w:r w:rsidR="005D52A5"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%21 iken 600 mg kapsül dozunun uygulanmasını takiben %16'dır.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lastRenderedPageBreak/>
        <w:t>Sefdinir yemeklerden bağımsız olarak alınabilir.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Sefdinir kapsüllerin yetişkinlere tek doz 300 mg uygulanmasından sonra C</w:t>
      </w:r>
      <w:r w:rsidRPr="009548E4">
        <w:rPr>
          <w:rFonts w:ascii="Times New Roman" w:eastAsia="TimesNewRoman,Bold" w:hAnsi="Times New Roman" w:cs="Times New Roman"/>
          <w:bCs/>
          <w:sz w:val="24"/>
          <w:szCs w:val="24"/>
          <w:vertAlign w:val="subscript"/>
        </w:rPr>
        <w:t>max</w:t>
      </w:r>
      <w:r w:rsidRPr="009548E4">
        <w:rPr>
          <w:rFonts w:ascii="Times New Roman" w:eastAsia="TimesNewRoman,Bold" w:hAnsi="Times New Roman" w:cs="Times New Roman"/>
          <w:bCs/>
          <w:sz w:val="24"/>
          <w:szCs w:val="24"/>
        </w:rPr>
        <w:t xml:space="preserve"> (</w:t>
      </w:r>
      <w:r w:rsidR="005D52A5" w:rsidRPr="009548E4">
        <w:rPr>
          <w:rFonts w:ascii="Times New Roman" w:eastAsia="TimesNewRoman,Bold" w:hAnsi="Times New Roman" w:cs="Times New Roman"/>
          <w:bCs/>
          <w:sz w:val="24"/>
          <w:szCs w:val="24"/>
        </w:rPr>
        <w:t>µ</w:t>
      </w:r>
      <w:r w:rsidRPr="009548E4">
        <w:rPr>
          <w:rFonts w:ascii="Times New Roman" w:eastAsia="TimesNewRoman,Bold" w:hAnsi="Times New Roman" w:cs="Times New Roman"/>
          <w:bCs/>
          <w:sz w:val="24"/>
          <w:szCs w:val="24"/>
        </w:rPr>
        <w:t>g/ml), t</w:t>
      </w:r>
      <w:r w:rsidRPr="009548E4">
        <w:rPr>
          <w:rFonts w:ascii="Times New Roman" w:eastAsia="TimesNewRoman,Bold" w:hAnsi="Times New Roman" w:cs="Times New Roman"/>
          <w:bCs/>
          <w:sz w:val="24"/>
          <w:szCs w:val="24"/>
          <w:vertAlign w:val="subscript"/>
        </w:rPr>
        <w:t>max</w:t>
      </w:r>
      <w:r w:rsidR="005D52A5"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(sa) ve AUC (</w:t>
      </w:r>
      <w:r w:rsidR="005D52A5" w:rsidRPr="009548E4">
        <w:rPr>
          <w:rFonts w:ascii="Times New Roman" w:eastAsia="TimesNewRoman,Bold" w:hAnsi="Times New Roman" w:cs="Times New Roman"/>
          <w:bCs/>
          <w:sz w:val="24"/>
          <w:szCs w:val="24"/>
        </w:rPr>
        <w:t>µ</w:t>
      </w:r>
      <w:r w:rsidRPr="009548E4">
        <w:rPr>
          <w:rFonts w:ascii="Times New Roman" w:eastAsia="TimesNewRoman,Bold" w:hAnsi="Times New Roman" w:cs="Times New Roman"/>
          <w:bCs/>
          <w:sz w:val="24"/>
          <w:szCs w:val="24"/>
        </w:rPr>
        <w:t>g.sa/ml) değerleri sırasıyla 1.60, 2.9, 7.05 ve 600 mg tek doz uygulanmasından</w:t>
      </w:r>
      <w:r w:rsidR="005D52A5"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sonra 2.87, 3.0, 11.1 olarak saptanmıştır.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i/>
          <w:sz w:val="24"/>
          <w:szCs w:val="24"/>
        </w:rPr>
        <w:t>Çoklu doz uygulaması:</w:t>
      </w:r>
      <w:r w:rsidRPr="009548E4">
        <w:rPr>
          <w:rFonts w:ascii="Times New Roman" w:eastAsia="TimesNewRoman,Bold" w:hAnsi="Times New Roman" w:cs="Times New Roman"/>
          <w:bCs/>
          <w:sz w:val="24"/>
          <w:szCs w:val="24"/>
        </w:rPr>
        <w:t xml:space="preserve"> Normal böbrek fonksiyonlu hastalarda günde tek doz veya iki kez</w:t>
      </w:r>
      <w:r w:rsidR="005D52A5"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uygulama ile sefdinir plazmada birikmez.</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u w:val="single"/>
        </w:rPr>
      </w:pPr>
      <w:r w:rsidRPr="009548E4">
        <w:rPr>
          <w:rFonts w:ascii="Times New Roman" w:eastAsia="TimesNewRoman,Bold" w:hAnsi="Times New Roman" w:cs="Times New Roman"/>
          <w:bCs/>
          <w:sz w:val="24"/>
          <w:szCs w:val="24"/>
          <w:u w:val="single"/>
        </w:rPr>
        <w:t>Dağılım:</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Sefdinirin ortalama dağılım hacmi yetişkinlerde 0.35 L/kg (±0.29), çocuklarda (6 ay-12 yaş)</w:t>
      </w:r>
      <w:r w:rsidR="005D52A5"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0.67 L/kg (±0.38)'dır. Sefdinir hem yetişkinler hem çocuklarda %60-70 oranında plazma</w:t>
      </w:r>
      <w:r w:rsidR="005D52A5"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proteinlerine bağlanır, bağlanma konsantrasyondan bağımsızdır.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u w:val="single"/>
        </w:rPr>
      </w:pPr>
      <w:r w:rsidRPr="009548E4">
        <w:rPr>
          <w:rFonts w:ascii="Times New Roman" w:eastAsia="TimesNewRoman,Bold" w:hAnsi="Times New Roman" w:cs="Times New Roman"/>
          <w:bCs/>
          <w:sz w:val="24"/>
          <w:szCs w:val="24"/>
          <w:u w:val="single"/>
        </w:rPr>
        <w:t>Biyotransformasyon:</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Sefdinir önemli derecede metabolize olmaz. Aktivitesi temel olarak ana ilaca bağlıdır.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u w:val="single"/>
        </w:rPr>
      </w:pPr>
      <w:r w:rsidRPr="009548E4">
        <w:rPr>
          <w:rFonts w:ascii="Times New Roman" w:eastAsia="TimesNewRoman,Bold" w:hAnsi="Times New Roman" w:cs="Times New Roman"/>
          <w:bCs/>
          <w:sz w:val="24"/>
          <w:szCs w:val="24"/>
          <w:u w:val="single"/>
        </w:rPr>
        <w:t>Eliminasyon:</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Sefdinir temel olarak böbrekler yoluyla atılır ve ortalama plazma eliminasyon yarı ömrü (t</w:t>
      </w:r>
      <w:r w:rsidR="005D52A5" w:rsidRPr="009548E4">
        <w:rPr>
          <w:rFonts w:ascii="Times New Roman" w:eastAsia="TimesNewRoman,Bold" w:hAnsi="Times New Roman" w:cs="Times New Roman"/>
          <w:bCs/>
          <w:sz w:val="24"/>
          <w:szCs w:val="24"/>
          <w:vertAlign w:val="subscript"/>
        </w:rPr>
        <w:t>1</w:t>
      </w:r>
      <w:r w:rsidRPr="009548E4">
        <w:rPr>
          <w:rFonts w:ascii="Times New Roman" w:eastAsia="TimesNewRoman,Bold" w:hAnsi="Times New Roman" w:cs="Times New Roman"/>
          <w:bCs/>
          <w:sz w:val="24"/>
          <w:szCs w:val="24"/>
          <w:vertAlign w:val="subscript"/>
        </w:rPr>
        <w:t>/2</w:t>
      </w:r>
      <w:r w:rsidRPr="009548E4">
        <w:rPr>
          <w:rFonts w:ascii="Times New Roman" w:eastAsia="TimesNewRoman,Bold" w:hAnsi="Times New Roman" w:cs="Times New Roman"/>
          <w:bCs/>
          <w:sz w:val="24"/>
          <w:szCs w:val="24"/>
        </w:rPr>
        <w:t>)</w:t>
      </w:r>
      <w:r w:rsidR="005D52A5"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1.7 (±0.6) saattir. Böbrek fonksiyon bozukluğu olan hastalarda sefdinir klerensi azalmaktadır.</w:t>
      </w:r>
      <w:r w:rsidR="005D52A5"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Eliminasyonun büyük bir kısmı böbrekler yoluyla olduğundan böbrek fonksiyon bozukluğu</w:t>
      </w:r>
      <w:r w:rsidR="005D52A5"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olan hastalarda ve hemodiyaliz hastalarında doz ayarlaması yapılmalıdır.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u w:val="single"/>
        </w:rPr>
      </w:pPr>
      <w:r w:rsidRPr="009548E4">
        <w:rPr>
          <w:rFonts w:ascii="Times New Roman" w:eastAsia="TimesNewRoman,Bold" w:hAnsi="Times New Roman" w:cs="Times New Roman"/>
          <w:bCs/>
          <w:sz w:val="24"/>
          <w:szCs w:val="24"/>
          <w:u w:val="single"/>
        </w:rPr>
        <w:t>Doğrusallık/Doğrusal olmayan durum:</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Plazma sefdinir konsantrasyonları dozla artar ancak artışlar 300 mg (7 mg/kg) 600 mg (14</w:t>
      </w:r>
      <w:r w:rsidR="005D52A5"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mg/kg) aralığında daha az doz orantısaldır.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Hastalardaki karakteristik özellikler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u w:val="single"/>
        </w:rPr>
      </w:pPr>
      <w:r w:rsidRPr="009548E4">
        <w:rPr>
          <w:rFonts w:ascii="Times New Roman" w:eastAsia="TimesNewRoman,Bold" w:hAnsi="Times New Roman" w:cs="Times New Roman"/>
          <w:bCs/>
          <w:sz w:val="24"/>
          <w:szCs w:val="24"/>
          <w:u w:val="single"/>
        </w:rPr>
        <w:t>Böbrek yetmezliği olan hastalar: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Belirgin şekilde böbrek yetmezliği olan hastalarda (kreatinin klerensi &lt; 30 ml/dk.) doz</w:t>
      </w:r>
      <w:r w:rsidR="005D52A5"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ayarlaması tavsiye edilir.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u w:val="single"/>
        </w:rPr>
      </w:pPr>
      <w:r w:rsidRPr="009548E4">
        <w:rPr>
          <w:rFonts w:ascii="Times New Roman" w:eastAsia="TimesNewRoman,Bold" w:hAnsi="Times New Roman" w:cs="Times New Roman"/>
          <w:bCs/>
          <w:sz w:val="24"/>
          <w:szCs w:val="24"/>
          <w:u w:val="single"/>
        </w:rPr>
        <w:t>Hemodiyaliz hastala</w:t>
      </w:r>
      <w:r w:rsidR="005D52A5" w:rsidRPr="009548E4">
        <w:rPr>
          <w:rFonts w:ascii="Times New Roman" w:eastAsia="TimesNewRoman,Bold" w:hAnsi="Times New Roman" w:cs="Times New Roman"/>
          <w:bCs/>
          <w:sz w:val="24"/>
          <w:szCs w:val="24"/>
          <w:u w:val="single"/>
        </w:rPr>
        <w:t>rı</w:t>
      </w:r>
      <w:r w:rsidRPr="009548E4">
        <w:rPr>
          <w:rFonts w:ascii="Times New Roman" w:eastAsia="TimesNewRoman,Bold" w:hAnsi="Times New Roman" w:cs="Times New Roman"/>
          <w:bCs/>
          <w:sz w:val="24"/>
          <w:szCs w:val="24"/>
          <w:u w:val="single"/>
        </w:rPr>
        <w:t>:</w:t>
      </w:r>
    </w:p>
    <w:p w:rsidR="005D52A5"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Bu hasta grubunda doz ayarlaması tavsiye edilir.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u w:val="single"/>
        </w:rPr>
      </w:pPr>
      <w:r w:rsidRPr="009548E4">
        <w:rPr>
          <w:rFonts w:ascii="Times New Roman" w:eastAsia="TimesNewRoman,Bold" w:hAnsi="Times New Roman" w:cs="Times New Roman"/>
          <w:bCs/>
          <w:sz w:val="24"/>
          <w:szCs w:val="24"/>
          <w:u w:val="single"/>
        </w:rPr>
        <w:t>Karaciğer bozukluğu olan hastalar: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Sefdinir temel olarak böbrekler yolu ile atıldığından ve önemli derecede metabolize</w:t>
      </w:r>
      <w:r w:rsidR="005D52A5" w:rsidRPr="009548E4">
        <w:rPr>
          <w:rFonts w:ascii="Times New Roman" w:eastAsia="TimesNewRoman,Bold" w:hAnsi="Times New Roman" w:cs="Times New Roman"/>
          <w:bCs/>
          <w:sz w:val="24"/>
          <w:szCs w:val="24"/>
        </w:rPr>
        <w:t xml:space="preserve"> </w:t>
      </w:r>
      <w:r w:rsidRPr="009548E4">
        <w:rPr>
          <w:rFonts w:ascii="Times New Roman" w:eastAsia="TimesNewRoman,Bold" w:hAnsi="Times New Roman" w:cs="Times New Roman"/>
          <w:bCs/>
          <w:sz w:val="24"/>
          <w:szCs w:val="24"/>
        </w:rPr>
        <w:t>olmadığından bu hasta grubunda doz ayarlamasının gerekmesi beklenmez.</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u w:val="single"/>
        </w:rPr>
      </w:pPr>
      <w:r w:rsidRPr="009548E4">
        <w:rPr>
          <w:rFonts w:ascii="Times New Roman" w:eastAsia="TimesNewRoman,Bold" w:hAnsi="Times New Roman" w:cs="Times New Roman"/>
          <w:bCs/>
          <w:sz w:val="24"/>
          <w:szCs w:val="24"/>
          <w:u w:val="single"/>
        </w:rPr>
        <w:t>Yaşlı hastalar: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Renal fonksiyon bozukluğu olmayan yaşlı hastalarda doz ayarlaması gerekmemektedir.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u w:val="single"/>
        </w:rPr>
      </w:pPr>
      <w:r w:rsidRPr="009548E4">
        <w:rPr>
          <w:rFonts w:ascii="Times New Roman" w:eastAsia="TimesNewRoman,Bold" w:hAnsi="Times New Roman" w:cs="Times New Roman"/>
          <w:bCs/>
          <w:sz w:val="24"/>
          <w:szCs w:val="24"/>
          <w:u w:val="single"/>
        </w:rPr>
        <w:t>Cinsiyet ve ırk:</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Irk veya cinsiyetin sefdinir farmakokinetikleri üzerinde belirgin bir etkisi yoktur.</w:t>
      </w:r>
    </w:p>
    <w:p w:rsidR="005D52A5" w:rsidRPr="009548E4" w:rsidRDefault="005D52A5"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5D52A5"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lastRenderedPageBreak/>
        <w:t>5.3</w:t>
      </w:r>
      <w:r w:rsidRPr="009548E4">
        <w:rPr>
          <w:rFonts w:ascii="Times New Roman" w:eastAsia="TimesNewRoman,Bold" w:hAnsi="Times New Roman" w:cs="Times New Roman"/>
          <w:b/>
          <w:bCs/>
          <w:sz w:val="24"/>
          <w:szCs w:val="24"/>
        </w:rPr>
        <w:tab/>
      </w:r>
      <w:r w:rsidR="00B8431B" w:rsidRPr="009548E4">
        <w:rPr>
          <w:rFonts w:ascii="Times New Roman" w:eastAsia="TimesNewRoman,Bold" w:hAnsi="Times New Roman" w:cs="Times New Roman"/>
          <w:b/>
          <w:bCs/>
          <w:sz w:val="24"/>
          <w:szCs w:val="24"/>
        </w:rPr>
        <w:t>Klinik öncesi güvenlilik verileri</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Sefdinirin karsinojenik potansiyeli değerlendirilmemiştir. V79 Çin hamsterı akciğer hücrelerinde bakteriyel ters mutasyon analizinde (Ames) veya hipoksantin-guanin fosforibosiltransferaz (HGPRT) yerinde nokta mutasyon analizinde mutajenik etkiler görülmemiştir. V79 Çin hamsterı akciğer hücrelerinde in vitro yapısal kromozom aberasyon analizinde veya in vivo fare kemik iliği mikronukleus analizinde klastojenik etkiler gözlenmemiştir. Sıçanlarda 1000 mg/kg/gün (insan dozunun mg/kg/gün bazında 70 katı, mg/m</w:t>
      </w:r>
      <w:r w:rsidRPr="009548E4">
        <w:rPr>
          <w:rFonts w:ascii="Times New Roman" w:eastAsia="TimesNewRoman,Bold" w:hAnsi="Times New Roman" w:cs="Times New Roman"/>
          <w:bCs/>
          <w:sz w:val="24"/>
          <w:szCs w:val="24"/>
          <w:vertAlign w:val="superscript"/>
        </w:rPr>
        <w:t>2</w:t>
      </w:r>
      <w:r w:rsidRPr="009548E4">
        <w:rPr>
          <w:rFonts w:ascii="Times New Roman" w:eastAsia="TimesNewRoman,Bold" w:hAnsi="Times New Roman" w:cs="Times New Roman"/>
          <w:bCs/>
          <w:sz w:val="24"/>
          <w:szCs w:val="24"/>
        </w:rPr>
        <w:t>/gün bazmda 11 katı)'e kadar oral dozlarda fertilite ve üreme performansı etkilenmemiştir.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Sıçanlarda 1000 mg/kg/gün (insan dozunun mg/kg/gün bazında 70 katı, mg/m</w:t>
      </w:r>
      <w:r w:rsidRPr="009548E4">
        <w:rPr>
          <w:rFonts w:ascii="Times New Roman" w:eastAsia="TimesNewRoman,Bold" w:hAnsi="Times New Roman" w:cs="Times New Roman"/>
          <w:bCs/>
          <w:sz w:val="24"/>
          <w:szCs w:val="24"/>
          <w:vertAlign w:val="superscript"/>
        </w:rPr>
        <w:t>2</w:t>
      </w:r>
      <w:r w:rsidRPr="009548E4">
        <w:rPr>
          <w:rFonts w:ascii="Times New Roman" w:eastAsia="TimesNewRoman,Bold" w:hAnsi="Times New Roman" w:cs="Times New Roman"/>
          <w:bCs/>
          <w:sz w:val="24"/>
          <w:szCs w:val="24"/>
        </w:rPr>
        <w:t>/gün bazında 11 katı)'e kadar oral dozlarda veya tavşanlarda 10 mg/kg/gün (insan dozunun mg/kg/gün bazında 0.7 katı, mg/m</w:t>
      </w:r>
      <w:r w:rsidRPr="009548E4">
        <w:rPr>
          <w:rFonts w:ascii="Times New Roman" w:eastAsia="TimesNewRoman,Bold" w:hAnsi="Times New Roman" w:cs="Times New Roman"/>
          <w:bCs/>
          <w:sz w:val="24"/>
          <w:szCs w:val="24"/>
          <w:vertAlign w:val="superscript"/>
        </w:rPr>
        <w:t>2</w:t>
      </w:r>
      <w:r w:rsidRPr="009548E4">
        <w:rPr>
          <w:rFonts w:ascii="Times New Roman" w:eastAsia="TimesNewRoman,Bold" w:hAnsi="Times New Roman" w:cs="Times New Roman"/>
          <w:bCs/>
          <w:sz w:val="24"/>
          <w:szCs w:val="24"/>
        </w:rPr>
        <w:t>/gün baz</w:t>
      </w:r>
      <w:r w:rsidR="00903E81" w:rsidRPr="009548E4">
        <w:rPr>
          <w:rFonts w:ascii="Times New Roman" w:eastAsia="TimesNewRoman,Bold" w:hAnsi="Times New Roman" w:cs="Times New Roman"/>
          <w:bCs/>
          <w:sz w:val="24"/>
          <w:szCs w:val="24"/>
        </w:rPr>
        <w:t>ın</w:t>
      </w:r>
      <w:r w:rsidRPr="009548E4">
        <w:rPr>
          <w:rFonts w:ascii="Times New Roman" w:eastAsia="TimesNewRoman,Bold" w:hAnsi="Times New Roman" w:cs="Times New Roman"/>
          <w:bCs/>
          <w:sz w:val="24"/>
          <w:szCs w:val="24"/>
        </w:rPr>
        <w:t>da 0.23 katı)'e kadar oral dozlarda sefdinir teratojenik etki göstermemiştir. Tavşanlarda 10 mg/kg/gün maksimum tolere edilebilen dozda dölde yan etki olmaksızın maternal toksisite (kilo alımının azalması) gözlenmiştir. Azalmış vücut ağırlığı sıçan fetüslerinde &gt;/= 100 mg/kg/gün, sıçan dölünde &gt;/= 32 mg/kg/gün dozunda görülmüştür. Maternal üreme parametreleri, döl sağ kalımı, gelişim, davranış veya üreme fonksiyonu üzerinde etki gözlenmemiştir.</w:t>
      </w:r>
    </w:p>
    <w:p w:rsidR="00903E81" w:rsidRPr="009548E4" w:rsidRDefault="00903E81"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6.</w:t>
      </w:r>
      <w:r w:rsidR="00903E81" w:rsidRPr="009548E4">
        <w:rPr>
          <w:rFonts w:ascii="Times New Roman" w:eastAsia="TimesNewRoman,Bold" w:hAnsi="Times New Roman" w:cs="Times New Roman"/>
          <w:b/>
          <w:bCs/>
          <w:sz w:val="24"/>
          <w:szCs w:val="24"/>
        </w:rPr>
        <w:tab/>
      </w:r>
      <w:r w:rsidRPr="009548E4">
        <w:rPr>
          <w:rFonts w:ascii="Times New Roman" w:eastAsia="TimesNewRoman,Bold" w:hAnsi="Times New Roman" w:cs="Times New Roman"/>
          <w:b/>
          <w:bCs/>
          <w:sz w:val="24"/>
          <w:szCs w:val="24"/>
        </w:rPr>
        <w:t>FARMAS</w:t>
      </w:r>
      <w:r w:rsidR="002B1869" w:rsidRPr="009548E4">
        <w:rPr>
          <w:rFonts w:ascii="Times New Roman" w:eastAsia="TimesNewRoman,Bold" w:hAnsi="Times New Roman" w:cs="Times New Roman"/>
          <w:b/>
          <w:bCs/>
          <w:sz w:val="24"/>
          <w:szCs w:val="24"/>
        </w:rPr>
        <w:t>Ö</w:t>
      </w:r>
      <w:r w:rsidRPr="009548E4">
        <w:rPr>
          <w:rFonts w:ascii="Times New Roman" w:eastAsia="TimesNewRoman,Bold" w:hAnsi="Times New Roman" w:cs="Times New Roman"/>
          <w:b/>
          <w:bCs/>
          <w:sz w:val="24"/>
          <w:szCs w:val="24"/>
        </w:rPr>
        <w:t>T</w:t>
      </w:r>
      <w:r w:rsidR="002B1869" w:rsidRPr="009548E4">
        <w:rPr>
          <w:rFonts w:ascii="Times New Roman" w:eastAsia="TimesNewRoman,Bold" w:hAnsi="Times New Roman" w:cs="Times New Roman"/>
          <w:b/>
          <w:bCs/>
          <w:sz w:val="24"/>
          <w:szCs w:val="24"/>
        </w:rPr>
        <w:t>İ</w:t>
      </w:r>
      <w:r w:rsidRPr="009548E4">
        <w:rPr>
          <w:rFonts w:ascii="Times New Roman" w:eastAsia="TimesNewRoman,Bold" w:hAnsi="Times New Roman" w:cs="Times New Roman"/>
          <w:b/>
          <w:bCs/>
          <w:sz w:val="24"/>
          <w:szCs w:val="24"/>
        </w:rPr>
        <w:t>K ÖZELLİKLER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6.1</w:t>
      </w:r>
      <w:r w:rsidRPr="009548E4">
        <w:rPr>
          <w:rFonts w:ascii="Times New Roman" w:eastAsia="TimesNewRoman,Bold" w:hAnsi="Times New Roman" w:cs="Times New Roman"/>
          <w:b/>
          <w:bCs/>
          <w:sz w:val="24"/>
          <w:szCs w:val="24"/>
        </w:rPr>
        <w:tab/>
        <w:t>Yardımcı maddelerin listesi</w:t>
      </w:r>
    </w:p>
    <w:p w:rsidR="00B8431B" w:rsidRPr="009548E4" w:rsidRDefault="002B1869"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K</w:t>
      </w:r>
      <w:r w:rsidR="00B8431B" w:rsidRPr="009548E4">
        <w:rPr>
          <w:rFonts w:ascii="Times New Roman" w:eastAsia="TimesNewRoman,Bold" w:hAnsi="Times New Roman" w:cs="Times New Roman"/>
          <w:bCs/>
          <w:sz w:val="24"/>
          <w:szCs w:val="24"/>
        </w:rPr>
        <w:t>arboksi metil selüloz</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Polioksil 40 stearat</w:t>
      </w:r>
    </w:p>
    <w:p w:rsidR="00903E81" w:rsidRPr="009548E4" w:rsidRDefault="00903E81"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Kroskarmelloz sodyum</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Kolloidal silikon dioksit</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Magnezyum stearat</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i/>
          <w:sz w:val="24"/>
          <w:szCs w:val="24"/>
        </w:rPr>
      </w:pPr>
      <w:r w:rsidRPr="009548E4">
        <w:rPr>
          <w:rFonts w:ascii="Times New Roman" w:eastAsia="TimesNewRoman,Bold" w:hAnsi="Times New Roman" w:cs="Times New Roman"/>
          <w:bCs/>
          <w:i/>
          <w:sz w:val="24"/>
          <w:szCs w:val="24"/>
        </w:rPr>
        <w:t>Kapsül yapısındaki yardımcı maddeler:</w:t>
      </w:r>
    </w:p>
    <w:p w:rsidR="00903E81" w:rsidRPr="009548E4" w:rsidRDefault="00903E81" w:rsidP="00903E81">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Titanyum dioksit</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İndigo</w:t>
      </w:r>
      <w:r w:rsidR="00903E81" w:rsidRPr="009548E4">
        <w:rPr>
          <w:rFonts w:ascii="Times New Roman" w:eastAsia="TimesNewRoman,Bold" w:hAnsi="Times New Roman" w:cs="Times New Roman"/>
          <w:bCs/>
          <w:sz w:val="24"/>
          <w:szCs w:val="24"/>
        </w:rPr>
        <w:t>tin FD&amp;C Blue # 2</w:t>
      </w:r>
    </w:p>
    <w:p w:rsidR="00703462" w:rsidRPr="009548E4" w:rsidRDefault="00703462" w:rsidP="00703462">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Sarı demir oksit</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Jelatin</w:t>
      </w:r>
    </w:p>
    <w:p w:rsidR="00903E81" w:rsidRPr="009548E4" w:rsidRDefault="00903E81"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6.2</w:t>
      </w:r>
      <w:r w:rsidRPr="009548E4">
        <w:rPr>
          <w:rFonts w:ascii="Times New Roman" w:eastAsia="TimesNewRoman,Bold" w:hAnsi="Times New Roman" w:cs="Times New Roman"/>
          <w:b/>
          <w:bCs/>
          <w:sz w:val="24"/>
          <w:szCs w:val="24"/>
        </w:rPr>
        <w:tab/>
        <w:t>Geçimsizlikler</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Bilinen herhangi bir geçimsizliği bulunmamaktadır.</w:t>
      </w:r>
    </w:p>
    <w:p w:rsidR="00903E81" w:rsidRPr="009548E4" w:rsidRDefault="00903E81"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lastRenderedPageBreak/>
        <w:t>6.3</w:t>
      </w:r>
      <w:r w:rsidRPr="009548E4">
        <w:rPr>
          <w:rFonts w:ascii="Times New Roman" w:eastAsia="TimesNewRoman,Bold" w:hAnsi="Times New Roman" w:cs="Times New Roman"/>
          <w:b/>
          <w:bCs/>
          <w:sz w:val="24"/>
          <w:szCs w:val="24"/>
        </w:rPr>
        <w:tab/>
        <w:t>Raf ömrü</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24</w:t>
      </w:r>
      <w:r w:rsidRPr="009548E4">
        <w:rPr>
          <w:rFonts w:ascii="Times New Roman" w:eastAsia="TimesNewRoman,Bold" w:hAnsi="Times New Roman" w:cs="Times New Roman"/>
          <w:bCs/>
          <w:sz w:val="24"/>
          <w:szCs w:val="24"/>
        </w:rPr>
        <w:tab/>
        <w:t>ay</w:t>
      </w:r>
    </w:p>
    <w:p w:rsidR="00903E81" w:rsidRPr="009548E4" w:rsidRDefault="00903E81"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6.4</w:t>
      </w:r>
      <w:r w:rsidRPr="009548E4">
        <w:rPr>
          <w:rFonts w:ascii="Times New Roman" w:eastAsia="TimesNewRoman,Bold" w:hAnsi="Times New Roman" w:cs="Times New Roman"/>
          <w:b/>
          <w:bCs/>
          <w:sz w:val="24"/>
          <w:szCs w:val="24"/>
        </w:rPr>
        <w:tab/>
        <w:t>Saklamaya yönelik özel tedbirler</w:t>
      </w:r>
    </w:p>
    <w:p w:rsidR="00B8431B" w:rsidRPr="009548E4" w:rsidRDefault="00903E81"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25</w:t>
      </w:r>
      <w:r w:rsidR="00B8431B" w:rsidRPr="009548E4">
        <w:rPr>
          <w:rFonts w:ascii="Times New Roman" w:eastAsia="TimesNewRoman,Bold" w:hAnsi="Times New Roman" w:cs="Times New Roman"/>
          <w:bCs/>
          <w:sz w:val="24"/>
          <w:szCs w:val="24"/>
        </w:rPr>
        <w:t>°C'nin altındaki oda sıcaklığında saklayınız.</w:t>
      </w:r>
    </w:p>
    <w:p w:rsidR="00903E81" w:rsidRPr="009548E4" w:rsidRDefault="00903E81"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6.5</w:t>
      </w:r>
      <w:r w:rsidRPr="009548E4">
        <w:rPr>
          <w:rFonts w:ascii="Times New Roman" w:eastAsia="TimesNewRoman,Bold" w:hAnsi="Times New Roman" w:cs="Times New Roman"/>
          <w:b/>
          <w:bCs/>
          <w:sz w:val="24"/>
          <w:szCs w:val="24"/>
        </w:rPr>
        <w:tab/>
        <w:t>Ambalajın niteliği ve içeriği</w:t>
      </w:r>
    </w:p>
    <w:p w:rsidR="00B8431B" w:rsidRPr="009548E4" w:rsidRDefault="00903E81" w:rsidP="00B8431B">
      <w:pPr>
        <w:autoSpaceDE w:val="0"/>
        <w:autoSpaceDN w:val="0"/>
        <w:adjustRightInd w:val="0"/>
        <w:spacing w:after="0" w:line="360" w:lineRule="auto"/>
        <w:jc w:val="both"/>
        <w:rPr>
          <w:rFonts w:ascii="Times New Roman" w:hAnsi="Times New Roman"/>
          <w:sz w:val="24"/>
          <w:szCs w:val="24"/>
        </w:rPr>
      </w:pPr>
      <w:r w:rsidRPr="009548E4">
        <w:rPr>
          <w:rFonts w:ascii="Times New Roman" w:hAnsi="Times New Roman"/>
          <w:sz w:val="24"/>
          <w:szCs w:val="24"/>
        </w:rPr>
        <w:t>Primer ambalaj malzemesi opak PVC-Aklar/Alüminyum blister. 10 ve 20 kapsüllük ambalajlarda sunulmaktadır.</w:t>
      </w:r>
    </w:p>
    <w:p w:rsidR="00903E81" w:rsidRPr="009548E4" w:rsidRDefault="00903E81"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903E81"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6.6</w:t>
      </w:r>
      <w:r w:rsidRPr="009548E4">
        <w:rPr>
          <w:rFonts w:ascii="Times New Roman" w:eastAsia="TimesNewRoman,Bold" w:hAnsi="Times New Roman" w:cs="Times New Roman"/>
          <w:b/>
          <w:bCs/>
          <w:sz w:val="24"/>
          <w:szCs w:val="24"/>
        </w:rPr>
        <w:tab/>
      </w:r>
      <w:r w:rsidR="00B8431B" w:rsidRPr="009548E4">
        <w:rPr>
          <w:rFonts w:ascii="Times New Roman" w:eastAsia="TimesNewRoman,Bold" w:hAnsi="Times New Roman" w:cs="Times New Roman"/>
          <w:b/>
          <w:bCs/>
          <w:sz w:val="24"/>
          <w:szCs w:val="24"/>
        </w:rPr>
        <w:t>Beşeri tıbbi üründen arta kalan maddelerin imhası ve diğer özel önlemler</w:t>
      </w:r>
    </w:p>
    <w:p w:rsidR="00903E81"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Kullanılmamış olan ürünler ya da atık materyaller "Tıbbi Atıkla</w:t>
      </w:r>
      <w:r w:rsidR="00903E81" w:rsidRPr="009548E4">
        <w:rPr>
          <w:rFonts w:ascii="Times New Roman" w:eastAsia="TimesNewRoman,Bold" w:hAnsi="Times New Roman" w:cs="Times New Roman"/>
          <w:bCs/>
          <w:sz w:val="24"/>
          <w:szCs w:val="24"/>
        </w:rPr>
        <w:t>rı</w:t>
      </w:r>
      <w:r w:rsidRPr="009548E4">
        <w:rPr>
          <w:rFonts w:ascii="Times New Roman" w:eastAsia="TimesNewRoman,Bold" w:hAnsi="Times New Roman" w:cs="Times New Roman"/>
          <w:bCs/>
          <w:sz w:val="24"/>
          <w:szCs w:val="24"/>
        </w:rPr>
        <w:t>n Kontrolü Yönetmeliği" "Ambalaj Atıklarının Kontrolü" yönetmeliklerine uygun olarak imha edilmelidir.</w:t>
      </w:r>
    </w:p>
    <w:p w:rsidR="00903E81" w:rsidRPr="009548E4" w:rsidRDefault="00903E81"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7. RUHSAT SAHİBİ</w:t>
      </w:r>
    </w:p>
    <w:p w:rsidR="00790709" w:rsidRPr="009548E4" w:rsidRDefault="00790709" w:rsidP="00790709">
      <w:pPr>
        <w:autoSpaceDE w:val="0"/>
        <w:autoSpaceDN w:val="0"/>
        <w:adjustRightInd w:val="0"/>
        <w:spacing w:after="0" w:line="360" w:lineRule="auto"/>
        <w:jc w:val="both"/>
        <w:rPr>
          <w:rFonts w:ascii="Times New Roman" w:eastAsia="TimesNewRoman,Bold" w:hAnsi="Times New Roman" w:cs="Times New Roman"/>
          <w:bCs/>
          <w:sz w:val="24"/>
          <w:szCs w:val="24"/>
        </w:rPr>
      </w:pPr>
      <w:bookmarkStart w:id="0" w:name="OLE_LINK13"/>
      <w:bookmarkStart w:id="1" w:name="OLE_LINK14"/>
      <w:r w:rsidRPr="009548E4">
        <w:rPr>
          <w:rFonts w:ascii="Times New Roman" w:eastAsia="TimesNewRoman,Bold" w:hAnsi="Times New Roman" w:cs="Times New Roman"/>
          <w:bCs/>
          <w:sz w:val="24"/>
          <w:szCs w:val="24"/>
        </w:rPr>
        <w:t>Deva Holding A.Ş.</w:t>
      </w:r>
    </w:p>
    <w:p w:rsidR="00790709" w:rsidRPr="009548E4" w:rsidRDefault="00790709" w:rsidP="00790709">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Halkalı Merkez Mah. Basın Ekspres Cad.</w:t>
      </w:r>
    </w:p>
    <w:p w:rsidR="00790709" w:rsidRPr="009548E4" w:rsidRDefault="00790709" w:rsidP="00790709">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No:1 34303 Küçükçekmece-İstanbul</w:t>
      </w:r>
    </w:p>
    <w:p w:rsidR="00790709" w:rsidRPr="009548E4" w:rsidRDefault="00790709" w:rsidP="00790709">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 xml:space="preserve">Tel: 0212 692 92 92 </w:t>
      </w:r>
    </w:p>
    <w:p w:rsidR="00790709" w:rsidRPr="009548E4" w:rsidRDefault="00790709" w:rsidP="00790709">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Faks: 0212 697 00 24</w:t>
      </w:r>
    </w:p>
    <w:bookmarkEnd w:id="0"/>
    <w:bookmarkEnd w:id="1"/>
    <w:p w:rsidR="00903E81" w:rsidRPr="009548E4" w:rsidRDefault="00903E81"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8.</w:t>
      </w:r>
      <w:r w:rsidRPr="009548E4">
        <w:rPr>
          <w:rFonts w:ascii="Times New Roman" w:eastAsia="TimesNewRoman,Bold" w:hAnsi="Times New Roman" w:cs="Times New Roman"/>
          <w:b/>
          <w:bCs/>
          <w:sz w:val="24"/>
          <w:szCs w:val="24"/>
        </w:rPr>
        <w:tab/>
        <w:t>RUHSAT NUMARASI</w:t>
      </w:r>
    </w:p>
    <w:p w:rsidR="00903E81" w:rsidRPr="009548E4" w:rsidRDefault="001936F7" w:rsidP="001936F7">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239/93</w:t>
      </w:r>
    </w:p>
    <w:p w:rsidR="00BB4528" w:rsidRPr="009548E4" w:rsidRDefault="00BB4528" w:rsidP="001936F7">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9.</w:t>
      </w:r>
      <w:r w:rsidRPr="009548E4">
        <w:rPr>
          <w:rFonts w:ascii="Times New Roman" w:eastAsia="TimesNewRoman,Bold" w:hAnsi="Times New Roman" w:cs="Times New Roman"/>
          <w:b/>
          <w:bCs/>
          <w:sz w:val="24"/>
          <w:szCs w:val="24"/>
        </w:rPr>
        <w:tab/>
        <w:t>İLK RUHSAT TARİHİ/RUHSAT YENİLEME TARİHİ</w:t>
      </w:r>
    </w:p>
    <w:p w:rsidR="00903E81"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 xml:space="preserve">İlk ruhsat tarihi: </w:t>
      </w:r>
      <w:r w:rsidR="001936F7" w:rsidRPr="009548E4">
        <w:rPr>
          <w:rFonts w:ascii="Times New Roman" w:eastAsia="TimesNewRoman,Bold" w:hAnsi="Times New Roman" w:cs="Times New Roman"/>
          <w:bCs/>
          <w:sz w:val="24"/>
          <w:szCs w:val="24"/>
        </w:rPr>
        <w:t>01.02.2012</w:t>
      </w: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Cs/>
          <w:sz w:val="24"/>
          <w:szCs w:val="24"/>
        </w:rPr>
      </w:pPr>
      <w:r w:rsidRPr="009548E4">
        <w:rPr>
          <w:rFonts w:ascii="Times New Roman" w:eastAsia="TimesNewRoman,Bold" w:hAnsi="Times New Roman" w:cs="Times New Roman"/>
          <w:bCs/>
          <w:sz w:val="24"/>
          <w:szCs w:val="24"/>
        </w:rPr>
        <w:t xml:space="preserve">Ruhsat yenileme tarihi: </w:t>
      </w:r>
    </w:p>
    <w:p w:rsidR="00903E81" w:rsidRPr="009548E4" w:rsidRDefault="00903E81" w:rsidP="00B8431B">
      <w:pPr>
        <w:autoSpaceDE w:val="0"/>
        <w:autoSpaceDN w:val="0"/>
        <w:adjustRightInd w:val="0"/>
        <w:spacing w:after="0" w:line="360" w:lineRule="auto"/>
        <w:jc w:val="both"/>
        <w:rPr>
          <w:rFonts w:ascii="Times New Roman" w:eastAsia="TimesNewRoman,Bold" w:hAnsi="Times New Roman" w:cs="Times New Roman"/>
          <w:bCs/>
          <w:sz w:val="24"/>
          <w:szCs w:val="24"/>
        </w:rPr>
      </w:pPr>
    </w:p>
    <w:p w:rsidR="00B8431B" w:rsidRPr="009548E4" w:rsidRDefault="00B8431B" w:rsidP="00B8431B">
      <w:pPr>
        <w:autoSpaceDE w:val="0"/>
        <w:autoSpaceDN w:val="0"/>
        <w:adjustRightInd w:val="0"/>
        <w:spacing w:after="0" w:line="360" w:lineRule="auto"/>
        <w:jc w:val="both"/>
        <w:rPr>
          <w:rFonts w:ascii="Times New Roman" w:eastAsia="TimesNewRoman,Bold" w:hAnsi="Times New Roman" w:cs="Times New Roman"/>
          <w:b/>
          <w:bCs/>
          <w:sz w:val="24"/>
          <w:szCs w:val="24"/>
        </w:rPr>
      </w:pPr>
      <w:r w:rsidRPr="009548E4">
        <w:rPr>
          <w:rFonts w:ascii="Times New Roman" w:eastAsia="TimesNewRoman,Bold" w:hAnsi="Times New Roman" w:cs="Times New Roman"/>
          <w:b/>
          <w:bCs/>
          <w:sz w:val="24"/>
          <w:szCs w:val="24"/>
        </w:rPr>
        <w:t>10.</w:t>
      </w:r>
      <w:r w:rsidRPr="009548E4">
        <w:rPr>
          <w:rFonts w:ascii="Times New Roman" w:eastAsia="TimesNewRoman,Bold" w:hAnsi="Times New Roman" w:cs="Times New Roman"/>
          <w:b/>
          <w:bCs/>
          <w:sz w:val="24"/>
          <w:szCs w:val="24"/>
        </w:rPr>
        <w:tab/>
        <w:t>KÜB'ÜN YENİLENME TARİHİ</w:t>
      </w:r>
    </w:p>
    <w:sectPr w:rsidR="00B8431B" w:rsidRPr="009548E4" w:rsidSect="0090485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B1B" w:rsidRDefault="00A84B1B" w:rsidP="004304F1">
      <w:pPr>
        <w:spacing w:after="0" w:line="240" w:lineRule="auto"/>
      </w:pPr>
      <w:r>
        <w:separator/>
      </w:r>
    </w:p>
  </w:endnote>
  <w:endnote w:type="continuationSeparator" w:id="0">
    <w:p w:rsidR="00A84B1B" w:rsidRDefault="00A84B1B" w:rsidP="00430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0740"/>
      <w:docPartObj>
        <w:docPartGallery w:val="Page Numbers (Bottom of Page)"/>
        <w:docPartUnique/>
      </w:docPartObj>
    </w:sdtPr>
    <w:sdtContent>
      <w:p w:rsidR="00B8431B" w:rsidRDefault="00957D1B">
        <w:pPr>
          <w:pStyle w:val="Altbilgi"/>
          <w:jc w:val="center"/>
        </w:pPr>
        <w:r w:rsidRPr="00623581">
          <w:rPr>
            <w:rFonts w:ascii="Times New Roman" w:hAnsi="Times New Roman" w:cs="Times New Roman"/>
            <w:sz w:val="24"/>
            <w:szCs w:val="24"/>
          </w:rPr>
          <w:fldChar w:fldCharType="begin"/>
        </w:r>
        <w:r w:rsidR="00B8431B" w:rsidRPr="00623581">
          <w:rPr>
            <w:rFonts w:ascii="Times New Roman" w:hAnsi="Times New Roman" w:cs="Times New Roman"/>
            <w:sz w:val="24"/>
            <w:szCs w:val="24"/>
          </w:rPr>
          <w:instrText xml:space="preserve"> PAGE   \* MERGEFORMAT </w:instrText>
        </w:r>
        <w:r w:rsidRPr="00623581">
          <w:rPr>
            <w:rFonts w:ascii="Times New Roman" w:hAnsi="Times New Roman" w:cs="Times New Roman"/>
            <w:sz w:val="24"/>
            <w:szCs w:val="24"/>
          </w:rPr>
          <w:fldChar w:fldCharType="separate"/>
        </w:r>
        <w:r w:rsidR="009548E4">
          <w:rPr>
            <w:rFonts w:ascii="Times New Roman" w:hAnsi="Times New Roman" w:cs="Times New Roman"/>
            <w:noProof/>
            <w:sz w:val="24"/>
            <w:szCs w:val="24"/>
          </w:rPr>
          <w:t>1</w:t>
        </w:r>
        <w:r w:rsidRPr="00623581">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B1B" w:rsidRDefault="00A84B1B" w:rsidP="004304F1">
      <w:pPr>
        <w:spacing w:after="0" w:line="240" w:lineRule="auto"/>
      </w:pPr>
      <w:r>
        <w:separator/>
      </w:r>
    </w:p>
  </w:footnote>
  <w:footnote w:type="continuationSeparator" w:id="0">
    <w:p w:rsidR="00A84B1B" w:rsidRDefault="00A84B1B" w:rsidP="004304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7CC3BA"/>
    <w:lvl w:ilvl="0">
      <w:numFmt w:val="bullet"/>
      <w:lvlText w:val="*"/>
      <w:lvlJc w:val="left"/>
    </w:lvl>
  </w:abstractNum>
  <w:abstractNum w:abstractNumId="1">
    <w:nsid w:val="39F1195F"/>
    <w:multiLevelType w:val="hybridMultilevel"/>
    <w:tmpl w:val="22581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19815D1"/>
    <w:multiLevelType w:val="hybridMultilevel"/>
    <w:tmpl w:val="046054EA"/>
    <w:lvl w:ilvl="0" w:tplc="1DB4F95C">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06"/>
        <w:lvlJc w:val="left"/>
        <w:rPr>
          <w:rFonts w:ascii="Arial" w:hAnsi="Arial" w:cs="Arial" w:hint="default"/>
        </w:rPr>
      </w:lvl>
    </w:lvlOverride>
  </w:num>
  <w:num w:numId="2">
    <w:abstractNumId w:val="0"/>
    <w:lvlOverride w:ilvl="0">
      <w:lvl w:ilvl="0">
        <w:start w:val="65535"/>
        <w:numFmt w:val="bullet"/>
        <w:lvlText w:val="•"/>
        <w:legacy w:legacy="1" w:legacySpace="0" w:legacyIndent="207"/>
        <w:lvlJc w:val="left"/>
        <w:rPr>
          <w:rFonts w:ascii="Arial" w:hAnsi="Arial" w:cs="Arial" w:hint="default"/>
        </w:rPr>
      </w:lvl>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7485D"/>
    <w:rsid w:val="000375C0"/>
    <w:rsid w:val="00042EC0"/>
    <w:rsid w:val="00052D1A"/>
    <w:rsid w:val="0007485D"/>
    <w:rsid w:val="00076C79"/>
    <w:rsid w:val="000935F7"/>
    <w:rsid w:val="00093B21"/>
    <w:rsid w:val="00097162"/>
    <w:rsid w:val="000A6DE4"/>
    <w:rsid w:val="000C7524"/>
    <w:rsid w:val="000E0C8A"/>
    <w:rsid w:val="00115BDB"/>
    <w:rsid w:val="00140200"/>
    <w:rsid w:val="00151E25"/>
    <w:rsid w:val="00153C43"/>
    <w:rsid w:val="00173175"/>
    <w:rsid w:val="00173B16"/>
    <w:rsid w:val="001936F7"/>
    <w:rsid w:val="001A2972"/>
    <w:rsid w:val="001B2FCD"/>
    <w:rsid w:val="001F2592"/>
    <w:rsid w:val="00204EA1"/>
    <w:rsid w:val="00222C71"/>
    <w:rsid w:val="002338CE"/>
    <w:rsid w:val="0024602D"/>
    <w:rsid w:val="002530AD"/>
    <w:rsid w:val="00253856"/>
    <w:rsid w:val="002662FB"/>
    <w:rsid w:val="00272D1B"/>
    <w:rsid w:val="002A51C4"/>
    <w:rsid w:val="002B1869"/>
    <w:rsid w:val="002B30CA"/>
    <w:rsid w:val="002B3C9F"/>
    <w:rsid w:val="002E3504"/>
    <w:rsid w:val="002F1F14"/>
    <w:rsid w:val="002F2A8D"/>
    <w:rsid w:val="002F2F3D"/>
    <w:rsid w:val="00312426"/>
    <w:rsid w:val="00327E9A"/>
    <w:rsid w:val="00337DC9"/>
    <w:rsid w:val="00396B3B"/>
    <w:rsid w:val="003C0A50"/>
    <w:rsid w:val="003C637A"/>
    <w:rsid w:val="003D4957"/>
    <w:rsid w:val="003D5853"/>
    <w:rsid w:val="003D5D91"/>
    <w:rsid w:val="0042091C"/>
    <w:rsid w:val="004213E3"/>
    <w:rsid w:val="004304F1"/>
    <w:rsid w:val="00431B7A"/>
    <w:rsid w:val="0044413E"/>
    <w:rsid w:val="00495569"/>
    <w:rsid w:val="00496F3A"/>
    <w:rsid w:val="004C3978"/>
    <w:rsid w:val="004C72D7"/>
    <w:rsid w:val="004C7C0E"/>
    <w:rsid w:val="004D0414"/>
    <w:rsid w:val="004D3417"/>
    <w:rsid w:val="004E4D71"/>
    <w:rsid w:val="00510B54"/>
    <w:rsid w:val="00535A4B"/>
    <w:rsid w:val="00545E87"/>
    <w:rsid w:val="005D52A5"/>
    <w:rsid w:val="005D7D47"/>
    <w:rsid w:val="005F6698"/>
    <w:rsid w:val="006124C3"/>
    <w:rsid w:val="00620F21"/>
    <w:rsid w:val="00623581"/>
    <w:rsid w:val="0062521C"/>
    <w:rsid w:val="006273A1"/>
    <w:rsid w:val="0063110C"/>
    <w:rsid w:val="0065357F"/>
    <w:rsid w:val="006553CA"/>
    <w:rsid w:val="006A163F"/>
    <w:rsid w:val="006F22AB"/>
    <w:rsid w:val="00703462"/>
    <w:rsid w:val="00711766"/>
    <w:rsid w:val="00762117"/>
    <w:rsid w:val="007664A4"/>
    <w:rsid w:val="00790709"/>
    <w:rsid w:val="007A7B04"/>
    <w:rsid w:val="00807928"/>
    <w:rsid w:val="00855674"/>
    <w:rsid w:val="00864691"/>
    <w:rsid w:val="008C2DF6"/>
    <w:rsid w:val="008E0958"/>
    <w:rsid w:val="008F06ED"/>
    <w:rsid w:val="00903E81"/>
    <w:rsid w:val="0090485A"/>
    <w:rsid w:val="0092345D"/>
    <w:rsid w:val="00933B1D"/>
    <w:rsid w:val="00946758"/>
    <w:rsid w:val="00951550"/>
    <w:rsid w:val="00954005"/>
    <w:rsid w:val="009548E4"/>
    <w:rsid w:val="00957D1B"/>
    <w:rsid w:val="00961E77"/>
    <w:rsid w:val="009879E4"/>
    <w:rsid w:val="009905F3"/>
    <w:rsid w:val="009960A4"/>
    <w:rsid w:val="009B055E"/>
    <w:rsid w:val="009D770B"/>
    <w:rsid w:val="009D7740"/>
    <w:rsid w:val="009E552D"/>
    <w:rsid w:val="009F3E0F"/>
    <w:rsid w:val="009F4066"/>
    <w:rsid w:val="00A06C63"/>
    <w:rsid w:val="00A10759"/>
    <w:rsid w:val="00A25B4C"/>
    <w:rsid w:val="00A83098"/>
    <w:rsid w:val="00A84B1B"/>
    <w:rsid w:val="00A938D7"/>
    <w:rsid w:val="00AE7F97"/>
    <w:rsid w:val="00AF648A"/>
    <w:rsid w:val="00B202A0"/>
    <w:rsid w:val="00B21313"/>
    <w:rsid w:val="00B4352B"/>
    <w:rsid w:val="00B833CF"/>
    <w:rsid w:val="00B8431B"/>
    <w:rsid w:val="00BB4528"/>
    <w:rsid w:val="00C30C58"/>
    <w:rsid w:val="00C52005"/>
    <w:rsid w:val="00C53362"/>
    <w:rsid w:val="00C7064C"/>
    <w:rsid w:val="00D1708E"/>
    <w:rsid w:val="00D54E2A"/>
    <w:rsid w:val="00D73A11"/>
    <w:rsid w:val="00D86EB7"/>
    <w:rsid w:val="00DA64DD"/>
    <w:rsid w:val="00DB4819"/>
    <w:rsid w:val="00DC4F6E"/>
    <w:rsid w:val="00DD6564"/>
    <w:rsid w:val="00DD7200"/>
    <w:rsid w:val="00E03EF7"/>
    <w:rsid w:val="00E04E58"/>
    <w:rsid w:val="00E13D15"/>
    <w:rsid w:val="00E20EBD"/>
    <w:rsid w:val="00E50606"/>
    <w:rsid w:val="00F111B3"/>
    <w:rsid w:val="00F36447"/>
    <w:rsid w:val="00F46E00"/>
    <w:rsid w:val="00F523B0"/>
    <w:rsid w:val="00FC71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E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485D"/>
    <w:pPr>
      <w:ind w:left="720"/>
      <w:contextualSpacing/>
    </w:pPr>
  </w:style>
  <w:style w:type="paragraph" w:styleId="stbilgi">
    <w:name w:val="header"/>
    <w:basedOn w:val="Normal"/>
    <w:link w:val="stbilgiChar"/>
    <w:uiPriority w:val="99"/>
    <w:semiHidden/>
    <w:unhideWhenUsed/>
    <w:rsid w:val="004304F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304F1"/>
  </w:style>
  <w:style w:type="paragraph" w:styleId="Altbilgi">
    <w:name w:val="footer"/>
    <w:basedOn w:val="Normal"/>
    <w:link w:val="AltbilgiChar"/>
    <w:uiPriority w:val="99"/>
    <w:unhideWhenUsed/>
    <w:rsid w:val="004304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04F1"/>
  </w:style>
  <w:style w:type="table" w:styleId="TabloKlavuzu">
    <w:name w:val="Table Grid"/>
    <w:basedOn w:val="NormalTablo"/>
    <w:uiPriority w:val="59"/>
    <w:rsid w:val="002A51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Vurgu">
    <w:name w:val="Emphasis"/>
    <w:basedOn w:val="VarsaylanParagrafYazTipi"/>
    <w:uiPriority w:val="20"/>
    <w:qFormat/>
    <w:rsid w:val="008C2DF6"/>
    <w:rPr>
      <w:b/>
      <w:bCs/>
      <w:i w:val="0"/>
      <w:iCs w:val="0"/>
    </w:rPr>
  </w:style>
</w:styles>
</file>

<file path=word/webSettings.xml><?xml version="1.0" encoding="utf-8"?>
<w:webSettings xmlns:r="http://schemas.openxmlformats.org/officeDocument/2006/relationships" xmlns:w="http://schemas.openxmlformats.org/wordprocessingml/2006/main">
  <w:divs>
    <w:div w:id="502814896">
      <w:bodyDiv w:val="1"/>
      <w:marLeft w:val="0"/>
      <w:marRight w:val="0"/>
      <w:marTop w:val="0"/>
      <w:marBottom w:val="0"/>
      <w:divBdr>
        <w:top w:val="none" w:sz="0" w:space="0" w:color="auto"/>
        <w:left w:val="none" w:sz="0" w:space="0" w:color="auto"/>
        <w:bottom w:val="none" w:sz="0" w:space="0" w:color="auto"/>
        <w:right w:val="none" w:sz="0" w:space="0" w:color="auto"/>
      </w:divBdr>
    </w:div>
    <w:div w:id="511115698">
      <w:bodyDiv w:val="1"/>
      <w:marLeft w:val="0"/>
      <w:marRight w:val="0"/>
      <w:marTop w:val="0"/>
      <w:marBottom w:val="0"/>
      <w:divBdr>
        <w:top w:val="none" w:sz="0" w:space="0" w:color="auto"/>
        <w:left w:val="none" w:sz="0" w:space="0" w:color="auto"/>
        <w:bottom w:val="none" w:sz="0" w:space="0" w:color="auto"/>
        <w:right w:val="none" w:sz="0" w:space="0" w:color="auto"/>
      </w:divBdr>
    </w:div>
    <w:div w:id="606079417">
      <w:bodyDiv w:val="1"/>
      <w:marLeft w:val="0"/>
      <w:marRight w:val="0"/>
      <w:marTop w:val="0"/>
      <w:marBottom w:val="0"/>
      <w:divBdr>
        <w:top w:val="none" w:sz="0" w:space="0" w:color="auto"/>
        <w:left w:val="none" w:sz="0" w:space="0" w:color="auto"/>
        <w:bottom w:val="none" w:sz="0" w:space="0" w:color="auto"/>
        <w:right w:val="none" w:sz="0" w:space="0" w:color="auto"/>
      </w:divBdr>
    </w:div>
    <w:div w:id="780956450">
      <w:bodyDiv w:val="1"/>
      <w:marLeft w:val="0"/>
      <w:marRight w:val="0"/>
      <w:marTop w:val="0"/>
      <w:marBottom w:val="0"/>
      <w:divBdr>
        <w:top w:val="none" w:sz="0" w:space="0" w:color="auto"/>
        <w:left w:val="none" w:sz="0" w:space="0" w:color="auto"/>
        <w:bottom w:val="none" w:sz="0" w:space="0" w:color="auto"/>
        <w:right w:val="none" w:sz="0" w:space="0" w:color="auto"/>
      </w:divBdr>
    </w:div>
    <w:div w:id="826439048">
      <w:bodyDiv w:val="1"/>
      <w:marLeft w:val="0"/>
      <w:marRight w:val="0"/>
      <w:marTop w:val="0"/>
      <w:marBottom w:val="0"/>
      <w:divBdr>
        <w:top w:val="none" w:sz="0" w:space="0" w:color="auto"/>
        <w:left w:val="none" w:sz="0" w:space="0" w:color="auto"/>
        <w:bottom w:val="none" w:sz="0" w:space="0" w:color="auto"/>
        <w:right w:val="none" w:sz="0" w:space="0" w:color="auto"/>
      </w:divBdr>
    </w:div>
    <w:div w:id="858347290">
      <w:bodyDiv w:val="1"/>
      <w:marLeft w:val="0"/>
      <w:marRight w:val="0"/>
      <w:marTop w:val="0"/>
      <w:marBottom w:val="0"/>
      <w:divBdr>
        <w:top w:val="none" w:sz="0" w:space="0" w:color="auto"/>
        <w:left w:val="none" w:sz="0" w:space="0" w:color="auto"/>
        <w:bottom w:val="none" w:sz="0" w:space="0" w:color="auto"/>
        <w:right w:val="none" w:sz="0" w:space="0" w:color="auto"/>
      </w:divBdr>
    </w:div>
    <w:div w:id="1099524968">
      <w:bodyDiv w:val="1"/>
      <w:marLeft w:val="0"/>
      <w:marRight w:val="0"/>
      <w:marTop w:val="0"/>
      <w:marBottom w:val="0"/>
      <w:divBdr>
        <w:top w:val="none" w:sz="0" w:space="0" w:color="auto"/>
        <w:left w:val="none" w:sz="0" w:space="0" w:color="auto"/>
        <w:bottom w:val="none" w:sz="0" w:space="0" w:color="auto"/>
        <w:right w:val="none" w:sz="0" w:space="0" w:color="auto"/>
      </w:divBdr>
    </w:div>
    <w:div w:id="1220021854">
      <w:bodyDiv w:val="1"/>
      <w:marLeft w:val="0"/>
      <w:marRight w:val="0"/>
      <w:marTop w:val="0"/>
      <w:marBottom w:val="0"/>
      <w:divBdr>
        <w:top w:val="none" w:sz="0" w:space="0" w:color="auto"/>
        <w:left w:val="none" w:sz="0" w:space="0" w:color="auto"/>
        <w:bottom w:val="none" w:sz="0" w:space="0" w:color="auto"/>
        <w:right w:val="none" w:sz="0" w:space="0" w:color="auto"/>
      </w:divBdr>
    </w:div>
    <w:div w:id="1341196730">
      <w:bodyDiv w:val="1"/>
      <w:marLeft w:val="0"/>
      <w:marRight w:val="0"/>
      <w:marTop w:val="0"/>
      <w:marBottom w:val="0"/>
      <w:divBdr>
        <w:top w:val="none" w:sz="0" w:space="0" w:color="auto"/>
        <w:left w:val="none" w:sz="0" w:space="0" w:color="auto"/>
        <w:bottom w:val="none" w:sz="0" w:space="0" w:color="auto"/>
        <w:right w:val="none" w:sz="0" w:space="0" w:color="auto"/>
      </w:divBdr>
    </w:div>
    <w:div w:id="1429502492">
      <w:bodyDiv w:val="1"/>
      <w:marLeft w:val="0"/>
      <w:marRight w:val="0"/>
      <w:marTop w:val="0"/>
      <w:marBottom w:val="0"/>
      <w:divBdr>
        <w:top w:val="none" w:sz="0" w:space="0" w:color="auto"/>
        <w:left w:val="none" w:sz="0" w:space="0" w:color="auto"/>
        <w:bottom w:val="none" w:sz="0" w:space="0" w:color="auto"/>
        <w:right w:val="none" w:sz="0" w:space="0" w:color="auto"/>
      </w:divBdr>
    </w:div>
    <w:div w:id="1473056714">
      <w:bodyDiv w:val="1"/>
      <w:marLeft w:val="0"/>
      <w:marRight w:val="0"/>
      <w:marTop w:val="0"/>
      <w:marBottom w:val="0"/>
      <w:divBdr>
        <w:top w:val="none" w:sz="0" w:space="0" w:color="auto"/>
        <w:left w:val="none" w:sz="0" w:space="0" w:color="auto"/>
        <w:bottom w:val="none" w:sz="0" w:space="0" w:color="auto"/>
        <w:right w:val="none" w:sz="0" w:space="0" w:color="auto"/>
      </w:divBdr>
    </w:div>
    <w:div w:id="1589576478">
      <w:bodyDiv w:val="1"/>
      <w:marLeft w:val="0"/>
      <w:marRight w:val="0"/>
      <w:marTop w:val="0"/>
      <w:marBottom w:val="0"/>
      <w:divBdr>
        <w:top w:val="none" w:sz="0" w:space="0" w:color="auto"/>
        <w:left w:val="none" w:sz="0" w:space="0" w:color="auto"/>
        <w:bottom w:val="none" w:sz="0" w:space="0" w:color="auto"/>
        <w:right w:val="none" w:sz="0" w:space="0" w:color="auto"/>
      </w:divBdr>
    </w:div>
    <w:div w:id="1760827348">
      <w:bodyDiv w:val="1"/>
      <w:marLeft w:val="0"/>
      <w:marRight w:val="0"/>
      <w:marTop w:val="0"/>
      <w:marBottom w:val="0"/>
      <w:divBdr>
        <w:top w:val="none" w:sz="0" w:space="0" w:color="auto"/>
        <w:left w:val="none" w:sz="0" w:space="0" w:color="auto"/>
        <w:bottom w:val="none" w:sz="0" w:space="0" w:color="auto"/>
        <w:right w:val="none" w:sz="0" w:space="0" w:color="auto"/>
      </w:divBdr>
    </w:div>
    <w:div w:id="1784616801">
      <w:bodyDiv w:val="1"/>
      <w:marLeft w:val="0"/>
      <w:marRight w:val="0"/>
      <w:marTop w:val="0"/>
      <w:marBottom w:val="0"/>
      <w:divBdr>
        <w:top w:val="none" w:sz="0" w:space="0" w:color="auto"/>
        <w:left w:val="none" w:sz="0" w:space="0" w:color="auto"/>
        <w:bottom w:val="none" w:sz="0" w:space="0" w:color="auto"/>
        <w:right w:val="none" w:sz="0" w:space="0" w:color="auto"/>
      </w:divBdr>
    </w:div>
    <w:div w:id="1796021129">
      <w:bodyDiv w:val="1"/>
      <w:marLeft w:val="0"/>
      <w:marRight w:val="0"/>
      <w:marTop w:val="0"/>
      <w:marBottom w:val="0"/>
      <w:divBdr>
        <w:top w:val="none" w:sz="0" w:space="0" w:color="auto"/>
        <w:left w:val="none" w:sz="0" w:space="0" w:color="auto"/>
        <w:bottom w:val="none" w:sz="0" w:space="0" w:color="auto"/>
        <w:right w:val="none" w:sz="0" w:space="0" w:color="auto"/>
      </w:divBdr>
    </w:div>
    <w:div w:id="1838308099">
      <w:bodyDiv w:val="1"/>
      <w:marLeft w:val="0"/>
      <w:marRight w:val="0"/>
      <w:marTop w:val="0"/>
      <w:marBottom w:val="0"/>
      <w:divBdr>
        <w:top w:val="none" w:sz="0" w:space="0" w:color="auto"/>
        <w:left w:val="none" w:sz="0" w:space="0" w:color="auto"/>
        <w:bottom w:val="none" w:sz="0" w:space="0" w:color="auto"/>
        <w:right w:val="none" w:sz="0" w:space="0" w:color="auto"/>
      </w:divBdr>
    </w:div>
    <w:div w:id="1952349687">
      <w:bodyDiv w:val="1"/>
      <w:marLeft w:val="0"/>
      <w:marRight w:val="0"/>
      <w:marTop w:val="0"/>
      <w:marBottom w:val="0"/>
      <w:divBdr>
        <w:top w:val="none" w:sz="0" w:space="0" w:color="auto"/>
        <w:left w:val="none" w:sz="0" w:space="0" w:color="auto"/>
        <w:bottom w:val="none" w:sz="0" w:space="0" w:color="auto"/>
        <w:right w:val="none" w:sz="0" w:space="0" w:color="auto"/>
      </w:divBdr>
    </w:div>
    <w:div w:id="19643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2266</Words>
  <Characters>12920</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Deva Holding A.S.</Company>
  <LinksUpToDate>false</LinksUpToDate>
  <CharactersWithSpaces>15156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osemiz</dc:creator>
  <cp:keywords/>
  <dc:description/>
  <cp:lastModifiedBy>mozdogan</cp:lastModifiedBy>
  <cp:revision>12</cp:revision>
  <cp:lastPrinted>2014-08-08T08:28:00Z</cp:lastPrinted>
  <dcterms:created xsi:type="dcterms:W3CDTF">2011-12-15T11:59:00Z</dcterms:created>
  <dcterms:modified xsi:type="dcterms:W3CDTF">2014-08-25T06:37:00Z</dcterms:modified>
</cp:coreProperties>
</file>