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2934D0" w:rsidRDefault="00C93104" w:rsidP="0031412B">
      <w:pPr>
        <w:spacing w:after="0"/>
        <w:jc w:val="center"/>
        <w:rPr>
          <w:rFonts w:ascii="Times New Roman" w:hAnsi="Times New Roman" w:cs="Times New Roman"/>
          <w:b/>
          <w:sz w:val="24"/>
          <w:szCs w:val="24"/>
        </w:rPr>
      </w:pPr>
      <w:r w:rsidRPr="002934D0">
        <w:rPr>
          <w:rFonts w:ascii="Times New Roman" w:hAnsi="Times New Roman" w:cs="Times New Roman"/>
          <w:b/>
          <w:sz w:val="24"/>
          <w:szCs w:val="24"/>
        </w:rPr>
        <w:t>KISA ÜRÜN BİLGİSİ</w:t>
      </w:r>
    </w:p>
    <w:p w:rsidR="00C93104" w:rsidRPr="002934D0" w:rsidRDefault="00C93104" w:rsidP="0031412B">
      <w:pPr>
        <w:spacing w:after="0"/>
        <w:jc w:val="both"/>
        <w:rPr>
          <w:rFonts w:ascii="Times New Roman" w:hAnsi="Times New Roman" w:cs="Times New Roman"/>
          <w:b/>
          <w:sz w:val="24"/>
          <w:szCs w:val="24"/>
        </w:rPr>
      </w:pPr>
    </w:p>
    <w:p w:rsidR="00C93104" w:rsidRPr="002934D0" w:rsidRDefault="00C93104" w:rsidP="0031412B">
      <w:pPr>
        <w:pStyle w:val="ListeParagraf"/>
        <w:numPr>
          <w:ilvl w:val="0"/>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BEŞERİ TIBBİ ÜRÜNÜN ADI</w:t>
      </w:r>
    </w:p>
    <w:p w:rsidR="0046695E" w:rsidRPr="002934D0" w:rsidRDefault="0046695E" w:rsidP="0031412B">
      <w:pPr>
        <w:pStyle w:val="stbilgi"/>
        <w:tabs>
          <w:tab w:val="clear" w:pos="4536"/>
          <w:tab w:val="center" w:pos="260"/>
          <w:tab w:val="left" w:pos="390"/>
        </w:tabs>
        <w:spacing w:line="276" w:lineRule="auto"/>
        <w:jc w:val="both"/>
        <w:rPr>
          <w:rFonts w:ascii="Times New Roman" w:hAnsi="Times New Roman" w:cs="Times New Roman"/>
          <w:sz w:val="24"/>
          <w:szCs w:val="24"/>
        </w:rPr>
      </w:pPr>
      <w:r w:rsidRPr="002934D0">
        <w:rPr>
          <w:rFonts w:ascii="Times New Roman" w:hAnsi="Times New Roman" w:cs="Times New Roman"/>
          <w:sz w:val="24"/>
          <w:szCs w:val="24"/>
        </w:rPr>
        <w:t>FLOX</w:t>
      </w:r>
      <w:r w:rsidR="00BF2537" w:rsidRPr="002934D0">
        <w:rPr>
          <w:rFonts w:ascii="Times New Roman" w:hAnsi="Times New Roman" w:cs="Times New Roman"/>
          <w:sz w:val="24"/>
          <w:szCs w:val="24"/>
        </w:rPr>
        <w:t>İ</w:t>
      </w:r>
      <w:r w:rsidRPr="002934D0">
        <w:rPr>
          <w:rFonts w:ascii="Times New Roman" w:hAnsi="Times New Roman" w:cs="Times New Roman"/>
          <w:sz w:val="24"/>
          <w:szCs w:val="24"/>
        </w:rPr>
        <w:t xml:space="preserve">LEVO 500 mg </w:t>
      </w:r>
      <w:r w:rsidR="00BF2537" w:rsidRPr="002934D0">
        <w:rPr>
          <w:rFonts w:ascii="Times New Roman" w:hAnsi="Times New Roman" w:cs="Times New Roman"/>
          <w:sz w:val="24"/>
          <w:szCs w:val="24"/>
        </w:rPr>
        <w:t>film tablet</w:t>
      </w:r>
    </w:p>
    <w:p w:rsidR="00BE6FEB" w:rsidRPr="002934D0" w:rsidRDefault="00BE6FEB" w:rsidP="0031412B">
      <w:pPr>
        <w:spacing w:after="0"/>
        <w:jc w:val="both"/>
        <w:rPr>
          <w:rFonts w:ascii="Times New Roman" w:hAnsi="Times New Roman" w:cs="Times New Roman"/>
          <w:b/>
          <w:sz w:val="24"/>
          <w:szCs w:val="24"/>
          <w:highlight w:val="yellow"/>
        </w:rPr>
      </w:pPr>
    </w:p>
    <w:p w:rsidR="00C93104" w:rsidRPr="002934D0" w:rsidRDefault="00C93104" w:rsidP="0031412B">
      <w:pPr>
        <w:pStyle w:val="ListeParagraf"/>
        <w:numPr>
          <w:ilvl w:val="0"/>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KALİTATİF VE KANTİTATİF BİLEŞİM</w:t>
      </w:r>
    </w:p>
    <w:p w:rsidR="0046695E" w:rsidRPr="002934D0" w:rsidRDefault="0046695E" w:rsidP="0031412B">
      <w:pPr>
        <w:pStyle w:val="stbilgi"/>
        <w:tabs>
          <w:tab w:val="clear" w:pos="4536"/>
          <w:tab w:val="center" w:pos="260"/>
          <w:tab w:val="left" w:pos="390"/>
        </w:tabs>
        <w:spacing w:line="276" w:lineRule="auto"/>
        <w:jc w:val="both"/>
        <w:rPr>
          <w:rFonts w:ascii="Times New Roman" w:hAnsi="Times New Roman" w:cs="Times New Roman"/>
          <w:sz w:val="24"/>
          <w:szCs w:val="24"/>
        </w:rPr>
      </w:pPr>
      <w:r w:rsidRPr="002934D0">
        <w:rPr>
          <w:rFonts w:ascii="Times New Roman" w:hAnsi="Times New Roman" w:cs="Times New Roman"/>
          <w:sz w:val="24"/>
          <w:szCs w:val="24"/>
        </w:rPr>
        <w:t>Her bir film tablet,</w:t>
      </w:r>
    </w:p>
    <w:p w:rsidR="00043C1F" w:rsidRPr="002934D0" w:rsidRDefault="00043C1F" w:rsidP="0031412B">
      <w:pPr>
        <w:pStyle w:val="stbilgi"/>
        <w:tabs>
          <w:tab w:val="clear" w:pos="4536"/>
          <w:tab w:val="num" w:pos="0"/>
          <w:tab w:val="center" w:pos="260"/>
          <w:tab w:val="left" w:pos="390"/>
        </w:tabs>
        <w:spacing w:line="276" w:lineRule="auto"/>
        <w:jc w:val="both"/>
        <w:rPr>
          <w:rFonts w:ascii="Times New Roman" w:hAnsi="Times New Roman" w:cs="Times New Roman"/>
          <w:sz w:val="24"/>
          <w:szCs w:val="24"/>
        </w:rPr>
      </w:pPr>
      <w:r w:rsidRPr="002934D0">
        <w:rPr>
          <w:rFonts w:ascii="Times New Roman" w:hAnsi="Times New Roman" w:cs="Times New Roman"/>
          <w:b/>
          <w:sz w:val="24"/>
          <w:szCs w:val="24"/>
        </w:rPr>
        <w:t>Etkin madde:</w:t>
      </w:r>
      <w:r w:rsidR="0046695E" w:rsidRPr="002934D0">
        <w:rPr>
          <w:rFonts w:ascii="Times New Roman" w:hAnsi="Times New Roman" w:cs="Times New Roman"/>
          <w:sz w:val="24"/>
          <w:szCs w:val="24"/>
        </w:rPr>
        <w:t xml:space="preserve"> 500 mg Levofloksasin’e eşdeğer, </w:t>
      </w:r>
      <w:proofErr w:type="gramStart"/>
      <w:r w:rsidR="00B47AC7" w:rsidRPr="002934D0">
        <w:rPr>
          <w:rFonts w:ascii="Times New Roman" w:hAnsi="Times New Roman" w:cs="Times New Roman"/>
          <w:sz w:val="24"/>
          <w:szCs w:val="24"/>
        </w:rPr>
        <w:t>512.46</w:t>
      </w:r>
      <w:proofErr w:type="gramEnd"/>
      <w:r w:rsidR="00B47AC7" w:rsidRPr="002934D0">
        <w:rPr>
          <w:rFonts w:ascii="Times New Roman" w:hAnsi="Times New Roman" w:cs="Times New Roman"/>
          <w:sz w:val="24"/>
          <w:szCs w:val="24"/>
        </w:rPr>
        <w:t xml:space="preserve"> mg </w:t>
      </w:r>
      <w:proofErr w:type="spellStart"/>
      <w:r w:rsidR="0046695E" w:rsidRPr="002934D0">
        <w:rPr>
          <w:rFonts w:ascii="Times New Roman" w:hAnsi="Times New Roman" w:cs="Times New Roman"/>
          <w:sz w:val="24"/>
          <w:szCs w:val="24"/>
        </w:rPr>
        <w:t>Levofloksas</w:t>
      </w:r>
      <w:r w:rsidR="00BF2537" w:rsidRPr="002934D0">
        <w:rPr>
          <w:rFonts w:ascii="Times New Roman" w:hAnsi="Times New Roman" w:cs="Times New Roman"/>
          <w:sz w:val="24"/>
          <w:szCs w:val="24"/>
        </w:rPr>
        <w:t>in</w:t>
      </w:r>
      <w:proofErr w:type="spellEnd"/>
      <w:r w:rsidR="00BF2537" w:rsidRPr="002934D0">
        <w:rPr>
          <w:rFonts w:ascii="Times New Roman" w:hAnsi="Times New Roman" w:cs="Times New Roman"/>
          <w:sz w:val="24"/>
          <w:szCs w:val="24"/>
        </w:rPr>
        <w:t xml:space="preserve"> </w:t>
      </w:r>
      <w:proofErr w:type="spellStart"/>
      <w:r w:rsidR="00E323B3" w:rsidRPr="002934D0">
        <w:rPr>
          <w:rFonts w:ascii="Times New Roman" w:hAnsi="Times New Roman" w:cs="Times New Roman"/>
          <w:sz w:val="24"/>
          <w:szCs w:val="24"/>
        </w:rPr>
        <w:t>h</w:t>
      </w:r>
      <w:r w:rsidR="00BF2537" w:rsidRPr="002934D0">
        <w:rPr>
          <w:rFonts w:ascii="Times New Roman" w:hAnsi="Times New Roman" w:cs="Times New Roman"/>
          <w:sz w:val="24"/>
          <w:szCs w:val="24"/>
        </w:rPr>
        <w:t>emihi</w:t>
      </w:r>
      <w:r w:rsidR="0046695E" w:rsidRPr="002934D0">
        <w:rPr>
          <w:rFonts w:ascii="Times New Roman" w:hAnsi="Times New Roman" w:cs="Times New Roman"/>
          <w:sz w:val="24"/>
          <w:szCs w:val="24"/>
        </w:rPr>
        <w:t>drat</w:t>
      </w:r>
      <w:proofErr w:type="spellEnd"/>
      <w:r w:rsidR="0046695E" w:rsidRPr="002934D0">
        <w:rPr>
          <w:rFonts w:ascii="Times New Roman" w:hAnsi="Times New Roman" w:cs="Times New Roman"/>
          <w:sz w:val="24"/>
          <w:szCs w:val="24"/>
        </w:rPr>
        <w:t xml:space="preserve"> içermektedir.</w:t>
      </w:r>
    </w:p>
    <w:p w:rsidR="00043C1F" w:rsidRPr="002934D0" w:rsidRDefault="00043C1F"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t>Yardımcı madde(ler):</w:t>
      </w:r>
    </w:p>
    <w:p w:rsidR="00B47AC7" w:rsidRPr="002934D0" w:rsidRDefault="00B47AC7"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Sodyum stearil fumarat</w:t>
      </w:r>
      <w:r w:rsidRPr="002934D0">
        <w:rPr>
          <w:rFonts w:ascii="Times New Roman" w:hAnsi="Times New Roman" w:cs="Times New Roman"/>
          <w:sz w:val="24"/>
          <w:szCs w:val="24"/>
          <w:u w:val="dotted"/>
        </w:rPr>
        <w:tab/>
      </w:r>
      <w:r w:rsidRPr="002934D0">
        <w:rPr>
          <w:rFonts w:ascii="Times New Roman" w:hAnsi="Times New Roman" w:cs="Times New Roman"/>
          <w:sz w:val="24"/>
          <w:szCs w:val="24"/>
          <w:u w:val="dotted"/>
        </w:rPr>
        <w:tab/>
      </w:r>
      <w:r w:rsidRPr="002934D0">
        <w:rPr>
          <w:rFonts w:ascii="Times New Roman" w:hAnsi="Times New Roman" w:cs="Times New Roman"/>
          <w:sz w:val="24"/>
          <w:szCs w:val="24"/>
        </w:rPr>
        <w:t>12.00 mg</w:t>
      </w:r>
    </w:p>
    <w:p w:rsidR="00B47AC7" w:rsidRPr="002934D0" w:rsidRDefault="00B47AC7" w:rsidP="0031412B">
      <w:pPr>
        <w:pStyle w:val="stbilgi"/>
        <w:tabs>
          <w:tab w:val="clear" w:pos="4536"/>
          <w:tab w:val="num" w:pos="0"/>
          <w:tab w:val="center" w:pos="260"/>
          <w:tab w:val="left" w:pos="390"/>
        </w:tabs>
        <w:spacing w:line="276" w:lineRule="auto"/>
        <w:jc w:val="both"/>
        <w:rPr>
          <w:rFonts w:ascii="Times New Roman" w:hAnsi="Times New Roman" w:cs="Times New Roman"/>
          <w:sz w:val="24"/>
          <w:szCs w:val="24"/>
        </w:rPr>
      </w:pPr>
    </w:p>
    <w:p w:rsidR="0046695E" w:rsidRPr="002934D0" w:rsidRDefault="0046695E" w:rsidP="0031412B">
      <w:pPr>
        <w:pStyle w:val="stbilgi"/>
        <w:tabs>
          <w:tab w:val="clear" w:pos="4536"/>
          <w:tab w:val="num" w:pos="0"/>
          <w:tab w:val="center" w:pos="260"/>
          <w:tab w:val="left" w:pos="390"/>
        </w:tabs>
        <w:spacing w:line="276" w:lineRule="auto"/>
        <w:jc w:val="both"/>
        <w:rPr>
          <w:rFonts w:ascii="Times New Roman" w:hAnsi="Times New Roman" w:cs="Times New Roman"/>
          <w:sz w:val="24"/>
          <w:szCs w:val="24"/>
        </w:rPr>
      </w:pPr>
      <w:r w:rsidRPr="002934D0">
        <w:rPr>
          <w:rFonts w:ascii="Times New Roman" w:hAnsi="Times New Roman" w:cs="Times New Roman"/>
          <w:sz w:val="24"/>
          <w:szCs w:val="24"/>
        </w:rPr>
        <w:t xml:space="preserve">Yardımcı maddeler için, Bkz. </w:t>
      </w:r>
      <w:proofErr w:type="gramStart"/>
      <w:r w:rsidRPr="002934D0">
        <w:rPr>
          <w:rFonts w:ascii="Times New Roman" w:hAnsi="Times New Roman" w:cs="Times New Roman"/>
          <w:sz w:val="24"/>
          <w:szCs w:val="24"/>
        </w:rPr>
        <w:t>6.1</w:t>
      </w:r>
      <w:proofErr w:type="gramEnd"/>
    </w:p>
    <w:p w:rsidR="00616E59" w:rsidRPr="002934D0" w:rsidRDefault="00616E59" w:rsidP="0031412B">
      <w:pPr>
        <w:spacing w:after="0"/>
        <w:jc w:val="both"/>
        <w:rPr>
          <w:rFonts w:ascii="Times New Roman" w:hAnsi="Times New Roman" w:cs="Times New Roman"/>
          <w:sz w:val="24"/>
          <w:szCs w:val="24"/>
        </w:rPr>
      </w:pPr>
    </w:p>
    <w:p w:rsidR="00C93104" w:rsidRPr="002934D0" w:rsidRDefault="00C93104" w:rsidP="0031412B">
      <w:pPr>
        <w:pStyle w:val="ListeParagraf"/>
        <w:numPr>
          <w:ilvl w:val="0"/>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FARMASOTİK FORM</w:t>
      </w:r>
    </w:p>
    <w:p w:rsidR="0046695E" w:rsidRPr="002934D0" w:rsidRDefault="0046695E" w:rsidP="0031412B">
      <w:pPr>
        <w:tabs>
          <w:tab w:val="num" w:pos="0"/>
          <w:tab w:val="center" w:pos="260"/>
          <w:tab w:val="left" w:pos="390"/>
          <w:tab w:val="left" w:pos="426"/>
        </w:tabs>
        <w:spacing w:after="0"/>
        <w:jc w:val="both"/>
        <w:rPr>
          <w:rFonts w:ascii="Times New Roman" w:hAnsi="Times New Roman" w:cs="Times New Roman"/>
          <w:sz w:val="24"/>
          <w:szCs w:val="24"/>
        </w:rPr>
      </w:pPr>
      <w:r w:rsidRPr="002934D0">
        <w:rPr>
          <w:rFonts w:ascii="Times New Roman" w:hAnsi="Times New Roman" w:cs="Times New Roman"/>
          <w:sz w:val="24"/>
          <w:szCs w:val="24"/>
        </w:rPr>
        <w:t>Film tablet;</w:t>
      </w:r>
    </w:p>
    <w:p w:rsidR="0046695E" w:rsidRPr="002934D0" w:rsidRDefault="0046695E" w:rsidP="0031412B">
      <w:pPr>
        <w:tabs>
          <w:tab w:val="num" w:pos="0"/>
          <w:tab w:val="center" w:pos="260"/>
          <w:tab w:val="left" w:pos="390"/>
          <w:tab w:val="left" w:pos="426"/>
        </w:tabs>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Beyaz film kaplı, </w:t>
      </w:r>
      <w:r w:rsidR="00B47AC7" w:rsidRPr="002934D0">
        <w:rPr>
          <w:rFonts w:ascii="Times New Roman" w:hAnsi="Times New Roman" w:cs="Times New Roman"/>
          <w:sz w:val="24"/>
          <w:szCs w:val="24"/>
        </w:rPr>
        <w:t xml:space="preserve">kokusuz, </w:t>
      </w:r>
      <w:r w:rsidRPr="002934D0">
        <w:rPr>
          <w:rFonts w:ascii="Times New Roman" w:hAnsi="Times New Roman" w:cs="Times New Roman"/>
          <w:sz w:val="24"/>
          <w:szCs w:val="24"/>
        </w:rPr>
        <w:t xml:space="preserve">homojen görünüşlü, </w:t>
      </w:r>
      <w:r w:rsidR="00B47AC7" w:rsidRPr="002934D0">
        <w:rPr>
          <w:rFonts w:ascii="Times New Roman" w:hAnsi="Times New Roman" w:cs="Times New Roman"/>
          <w:sz w:val="24"/>
          <w:szCs w:val="24"/>
        </w:rPr>
        <w:t xml:space="preserve">bir yüzü ortadan çentikli, diğer yüzü DEVA yazılı </w:t>
      </w:r>
      <w:r w:rsidRPr="002934D0">
        <w:rPr>
          <w:rFonts w:ascii="Times New Roman" w:hAnsi="Times New Roman" w:cs="Times New Roman"/>
          <w:sz w:val="24"/>
          <w:szCs w:val="24"/>
        </w:rPr>
        <w:t>oblong tabletler.</w:t>
      </w:r>
    </w:p>
    <w:p w:rsidR="00616E59" w:rsidRPr="002934D0" w:rsidRDefault="00616E59" w:rsidP="0031412B">
      <w:pPr>
        <w:spacing w:after="0"/>
        <w:jc w:val="both"/>
        <w:rPr>
          <w:rFonts w:ascii="Times New Roman" w:hAnsi="Times New Roman" w:cs="Times New Roman"/>
          <w:sz w:val="24"/>
          <w:szCs w:val="24"/>
        </w:rPr>
      </w:pPr>
    </w:p>
    <w:p w:rsidR="00C93104" w:rsidRPr="002934D0" w:rsidRDefault="00C93104" w:rsidP="0031412B">
      <w:pPr>
        <w:pStyle w:val="ListeParagraf"/>
        <w:numPr>
          <w:ilvl w:val="0"/>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KLİNİK ÖZELLİKLER</w:t>
      </w:r>
    </w:p>
    <w:p w:rsidR="00BE6FEB" w:rsidRPr="002934D0" w:rsidRDefault="00BE6FEB"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Terapötik endikasyonlar</w:t>
      </w:r>
    </w:p>
    <w:p w:rsidR="00BF2537" w:rsidRPr="002934D0" w:rsidRDefault="00BF2537" w:rsidP="0031412B">
      <w:pPr>
        <w:pStyle w:val="Default"/>
        <w:spacing w:line="276" w:lineRule="auto"/>
        <w:ind w:left="360"/>
        <w:jc w:val="both"/>
        <w:rPr>
          <w:color w:val="auto"/>
        </w:rPr>
      </w:pPr>
    </w:p>
    <w:p w:rsidR="00BF2537" w:rsidRPr="002934D0" w:rsidRDefault="00BF2537" w:rsidP="0031412B">
      <w:pPr>
        <w:pStyle w:val="Default"/>
        <w:spacing w:line="276" w:lineRule="auto"/>
        <w:jc w:val="both"/>
        <w:rPr>
          <w:color w:val="auto"/>
        </w:rPr>
      </w:pPr>
      <w:r w:rsidRPr="002934D0">
        <w:rPr>
          <w:color w:val="auto"/>
        </w:rPr>
        <w:t xml:space="preserve">FLOXİLEVO film tablet levofloksasine duyarlı mikroorganizmaların etken olduğu aşağıda belirtilen erişkinlerdeki </w:t>
      </w:r>
      <w:proofErr w:type="gramStart"/>
      <w:r w:rsidRPr="002934D0">
        <w:rPr>
          <w:color w:val="auto"/>
        </w:rPr>
        <w:t>enfeksiyonların</w:t>
      </w:r>
      <w:proofErr w:type="gramEnd"/>
      <w:r w:rsidRPr="002934D0">
        <w:rPr>
          <w:color w:val="auto"/>
        </w:rPr>
        <w:t xml:space="preserve"> tedavisinde endikedir: </w:t>
      </w:r>
    </w:p>
    <w:p w:rsidR="00BF2537" w:rsidRPr="002934D0" w:rsidRDefault="00BF2537" w:rsidP="0031412B">
      <w:pPr>
        <w:pStyle w:val="Default"/>
        <w:spacing w:line="276" w:lineRule="auto"/>
        <w:jc w:val="both"/>
        <w:rPr>
          <w:color w:val="auto"/>
        </w:rPr>
      </w:pPr>
    </w:p>
    <w:p w:rsidR="00BF2537" w:rsidRPr="002934D0" w:rsidRDefault="00BF2537" w:rsidP="0031412B">
      <w:pPr>
        <w:pStyle w:val="Default"/>
        <w:numPr>
          <w:ilvl w:val="0"/>
          <w:numId w:val="3"/>
        </w:numPr>
        <w:spacing w:line="276" w:lineRule="auto"/>
        <w:jc w:val="both"/>
        <w:rPr>
          <w:color w:val="auto"/>
        </w:rPr>
      </w:pPr>
      <w:r w:rsidRPr="002934D0">
        <w:rPr>
          <w:color w:val="auto"/>
        </w:rPr>
        <w:t xml:space="preserve">Akut sinüzit </w:t>
      </w:r>
    </w:p>
    <w:p w:rsidR="00BF2537" w:rsidRPr="002934D0" w:rsidRDefault="00BF2537" w:rsidP="0031412B">
      <w:pPr>
        <w:pStyle w:val="Default"/>
        <w:spacing w:line="276" w:lineRule="auto"/>
        <w:jc w:val="both"/>
        <w:rPr>
          <w:color w:val="auto"/>
        </w:rPr>
      </w:pPr>
      <w:r w:rsidRPr="002934D0">
        <w:rPr>
          <w:i/>
          <w:iCs/>
          <w:color w:val="auto"/>
        </w:rPr>
        <w:t>Streptococcus pneumoniae, Haemophilus influenzae veya Moraxella catarrhalis’</w:t>
      </w:r>
      <w:r w:rsidRPr="002934D0">
        <w:rPr>
          <w:color w:val="auto"/>
        </w:rPr>
        <w:t xml:space="preserve">in neden olduğu </w:t>
      </w:r>
    </w:p>
    <w:p w:rsidR="00BF2537" w:rsidRPr="002934D0" w:rsidRDefault="00BF2537" w:rsidP="0031412B">
      <w:pPr>
        <w:pStyle w:val="Default"/>
        <w:spacing w:line="276" w:lineRule="auto"/>
        <w:jc w:val="both"/>
        <w:rPr>
          <w:color w:val="auto"/>
        </w:rPr>
      </w:pPr>
    </w:p>
    <w:p w:rsidR="00BF2537" w:rsidRPr="002934D0" w:rsidRDefault="00BF2537" w:rsidP="0031412B">
      <w:pPr>
        <w:pStyle w:val="Default"/>
        <w:numPr>
          <w:ilvl w:val="0"/>
          <w:numId w:val="3"/>
        </w:numPr>
        <w:spacing w:line="276" w:lineRule="auto"/>
        <w:jc w:val="both"/>
        <w:rPr>
          <w:color w:val="auto"/>
        </w:rPr>
      </w:pPr>
      <w:r w:rsidRPr="002934D0">
        <w:rPr>
          <w:color w:val="auto"/>
        </w:rPr>
        <w:t xml:space="preserve">Kronik bronşitin akut alevlenmesi </w:t>
      </w:r>
    </w:p>
    <w:p w:rsidR="00BF2537" w:rsidRPr="002934D0" w:rsidRDefault="00BF2537" w:rsidP="0031412B">
      <w:pPr>
        <w:pStyle w:val="Default"/>
        <w:spacing w:line="276" w:lineRule="auto"/>
        <w:jc w:val="both"/>
        <w:rPr>
          <w:color w:val="auto"/>
        </w:rPr>
      </w:pPr>
      <w:r w:rsidRPr="002934D0">
        <w:rPr>
          <w:i/>
          <w:iCs/>
          <w:color w:val="auto"/>
        </w:rPr>
        <w:t>Staphylococcus aureus, Streptococcus pneumoniae, Haemophilus influenzae, Haemophilus parainfluenzae veya Moraxella catarrhalis’</w:t>
      </w:r>
      <w:r w:rsidRPr="002934D0">
        <w:rPr>
          <w:color w:val="auto"/>
        </w:rPr>
        <w:t xml:space="preserve">in neden olduğu </w:t>
      </w:r>
    </w:p>
    <w:p w:rsidR="00BF2537" w:rsidRPr="002934D0" w:rsidRDefault="00BF2537" w:rsidP="0031412B">
      <w:pPr>
        <w:pStyle w:val="Default"/>
        <w:spacing w:line="276" w:lineRule="auto"/>
        <w:jc w:val="both"/>
        <w:rPr>
          <w:color w:val="auto"/>
        </w:rPr>
      </w:pPr>
    </w:p>
    <w:p w:rsidR="00BF2537" w:rsidRPr="002934D0" w:rsidRDefault="00BF2537" w:rsidP="0031412B">
      <w:pPr>
        <w:pStyle w:val="Default"/>
        <w:numPr>
          <w:ilvl w:val="0"/>
          <w:numId w:val="3"/>
        </w:numPr>
        <w:spacing w:line="276" w:lineRule="auto"/>
        <w:jc w:val="both"/>
        <w:rPr>
          <w:color w:val="auto"/>
        </w:rPr>
      </w:pPr>
      <w:r w:rsidRPr="002934D0">
        <w:rPr>
          <w:color w:val="auto"/>
        </w:rPr>
        <w:t xml:space="preserve">Toplumda edinilmiş pnömoni </w:t>
      </w:r>
    </w:p>
    <w:p w:rsidR="00BF2537" w:rsidRPr="002934D0" w:rsidRDefault="00BF2537" w:rsidP="0031412B">
      <w:pPr>
        <w:pStyle w:val="Default"/>
        <w:spacing w:line="276" w:lineRule="auto"/>
        <w:jc w:val="both"/>
        <w:rPr>
          <w:color w:val="auto"/>
        </w:rPr>
      </w:pPr>
      <w:r w:rsidRPr="002934D0">
        <w:rPr>
          <w:i/>
          <w:iCs/>
          <w:color w:val="auto"/>
        </w:rPr>
        <w:t xml:space="preserve">Staphylococcus aureus, Streptococcus pneumoniae </w:t>
      </w:r>
      <w:proofErr w:type="gramStart"/>
      <w:r w:rsidRPr="002934D0">
        <w:rPr>
          <w:color w:val="auto"/>
        </w:rPr>
        <w:t>(</w:t>
      </w:r>
      <w:proofErr w:type="gramEnd"/>
      <w:r w:rsidRPr="002934D0">
        <w:rPr>
          <w:color w:val="auto"/>
        </w:rPr>
        <w:t xml:space="preserve">penisilin için MİK değeri ≥ 2 μg/ml olan </w:t>
      </w:r>
      <w:proofErr w:type="gramStart"/>
      <w:r w:rsidRPr="002934D0">
        <w:rPr>
          <w:color w:val="auto"/>
        </w:rPr>
        <w:t>penisiline</w:t>
      </w:r>
      <w:proofErr w:type="gramEnd"/>
      <w:r w:rsidRPr="002934D0">
        <w:rPr>
          <w:color w:val="auto"/>
        </w:rPr>
        <w:t xml:space="preserve"> dirençli suşlar dahil), </w:t>
      </w:r>
      <w:r w:rsidRPr="002934D0">
        <w:rPr>
          <w:i/>
          <w:iCs/>
          <w:color w:val="auto"/>
        </w:rPr>
        <w:t>Haemophilus influenzae, Haemophilus parainfluenzae, Klebsiella pneumoniae, Moraxella catarrhalis, Chlamydia pneumoniae, Legionella pneumophila veya Mycoplasma pneumoniae’</w:t>
      </w:r>
      <w:r w:rsidRPr="002934D0">
        <w:rPr>
          <w:color w:val="auto"/>
        </w:rPr>
        <w:t xml:space="preserve">nin neden olduğu </w:t>
      </w:r>
    </w:p>
    <w:p w:rsidR="00BF2537" w:rsidRPr="002934D0" w:rsidRDefault="00BF2537" w:rsidP="0031412B">
      <w:pPr>
        <w:pStyle w:val="Default"/>
        <w:spacing w:line="276" w:lineRule="auto"/>
        <w:jc w:val="both"/>
        <w:rPr>
          <w:color w:val="auto"/>
        </w:rPr>
      </w:pPr>
    </w:p>
    <w:p w:rsidR="00BF2537" w:rsidRPr="002934D0" w:rsidRDefault="00BF2537" w:rsidP="0031412B">
      <w:pPr>
        <w:pStyle w:val="Default"/>
        <w:numPr>
          <w:ilvl w:val="0"/>
          <w:numId w:val="3"/>
        </w:numPr>
        <w:spacing w:line="276" w:lineRule="auto"/>
        <w:jc w:val="both"/>
        <w:rPr>
          <w:color w:val="auto"/>
        </w:rPr>
      </w:pPr>
      <w:r w:rsidRPr="002934D0">
        <w:rPr>
          <w:color w:val="auto"/>
        </w:rPr>
        <w:t xml:space="preserve">Piyelonefrit </w:t>
      </w:r>
      <w:proofErr w:type="gramStart"/>
      <w:r w:rsidRPr="002934D0">
        <w:rPr>
          <w:color w:val="auto"/>
        </w:rPr>
        <w:t>dahil</w:t>
      </w:r>
      <w:proofErr w:type="gramEnd"/>
      <w:r w:rsidRPr="002934D0">
        <w:rPr>
          <w:color w:val="auto"/>
        </w:rPr>
        <w:t xml:space="preserve">, komplikasyonlu üriner sistem enfeksiyonları </w:t>
      </w:r>
    </w:p>
    <w:p w:rsidR="00BF2537" w:rsidRPr="002934D0" w:rsidRDefault="00BF2537" w:rsidP="0031412B">
      <w:pPr>
        <w:pStyle w:val="Default"/>
        <w:spacing w:line="276" w:lineRule="auto"/>
        <w:jc w:val="both"/>
        <w:rPr>
          <w:color w:val="auto"/>
        </w:rPr>
      </w:pPr>
      <w:r w:rsidRPr="002934D0">
        <w:rPr>
          <w:i/>
          <w:iCs/>
          <w:color w:val="auto"/>
        </w:rPr>
        <w:t>Escherichia coli’</w:t>
      </w:r>
      <w:r w:rsidRPr="002934D0">
        <w:rPr>
          <w:color w:val="auto"/>
        </w:rPr>
        <w:t>nin neden olduğu akut piyelonefrit</w:t>
      </w:r>
      <w:r w:rsidRPr="002934D0">
        <w:rPr>
          <w:i/>
          <w:iCs/>
          <w:color w:val="auto"/>
        </w:rPr>
        <w:t>; Enterococcus faecalis, Enterobacter cloacae, Escherichia coli, Klebsiella pneumoniae, Proteus mirabilis veya Pseudomonas aeruginosa’</w:t>
      </w:r>
      <w:r w:rsidRPr="002934D0">
        <w:rPr>
          <w:color w:val="auto"/>
        </w:rPr>
        <w:t xml:space="preserve">nın neden olduğu </w:t>
      </w:r>
    </w:p>
    <w:p w:rsidR="00BF2537" w:rsidRPr="002934D0" w:rsidRDefault="00BF2537" w:rsidP="0031412B">
      <w:pPr>
        <w:pStyle w:val="Default"/>
        <w:spacing w:line="276" w:lineRule="auto"/>
        <w:jc w:val="both"/>
        <w:rPr>
          <w:color w:val="auto"/>
        </w:rPr>
      </w:pPr>
    </w:p>
    <w:p w:rsidR="00BF2537" w:rsidRPr="002934D0" w:rsidRDefault="00BF2537" w:rsidP="0031412B">
      <w:pPr>
        <w:pStyle w:val="Default"/>
        <w:numPr>
          <w:ilvl w:val="0"/>
          <w:numId w:val="3"/>
        </w:numPr>
        <w:spacing w:line="276" w:lineRule="auto"/>
        <w:jc w:val="both"/>
        <w:rPr>
          <w:color w:val="auto"/>
        </w:rPr>
      </w:pPr>
      <w:r w:rsidRPr="002934D0">
        <w:rPr>
          <w:color w:val="auto"/>
        </w:rPr>
        <w:lastRenderedPageBreak/>
        <w:t xml:space="preserve">Prostatit </w:t>
      </w:r>
    </w:p>
    <w:p w:rsidR="00BF2537" w:rsidRPr="002934D0" w:rsidRDefault="00BF2537" w:rsidP="0031412B">
      <w:pPr>
        <w:pStyle w:val="Default"/>
        <w:spacing w:line="276" w:lineRule="auto"/>
        <w:jc w:val="both"/>
        <w:rPr>
          <w:color w:val="auto"/>
        </w:rPr>
      </w:pPr>
      <w:r w:rsidRPr="002934D0">
        <w:rPr>
          <w:i/>
          <w:iCs/>
          <w:color w:val="auto"/>
        </w:rPr>
        <w:t>Escherichia coli</w:t>
      </w:r>
      <w:r w:rsidRPr="002934D0">
        <w:rPr>
          <w:color w:val="auto"/>
        </w:rPr>
        <w:t xml:space="preserve">, </w:t>
      </w:r>
      <w:r w:rsidRPr="002934D0">
        <w:rPr>
          <w:i/>
          <w:iCs/>
          <w:color w:val="auto"/>
        </w:rPr>
        <w:t xml:space="preserve">Enterococcus faecalis </w:t>
      </w:r>
      <w:r w:rsidRPr="002934D0">
        <w:rPr>
          <w:color w:val="auto"/>
        </w:rPr>
        <w:t xml:space="preserve">ya da </w:t>
      </w:r>
      <w:r w:rsidRPr="002934D0">
        <w:rPr>
          <w:i/>
          <w:iCs/>
          <w:color w:val="auto"/>
        </w:rPr>
        <w:t>Stapylococcus epidermidis</w:t>
      </w:r>
      <w:r w:rsidRPr="002934D0">
        <w:rPr>
          <w:color w:val="auto"/>
        </w:rPr>
        <w:t xml:space="preserve">’in neden olduğu </w:t>
      </w:r>
    </w:p>
    <w:p w:rsidR="00A30048" w:rsidRPr="002934D0" w:rsidRDefault="00A30048" w:rsidP="0031412B">
      <w:pPr>
        <w:pStyle w:val="Default"/>
        <w:spacing w:line="276" w:lineRule="auto"/>
        <w:jc w:val="both"/>
        <w:rPr>
          <w:color w:val="auto"/>
        </w:rPr>
      </w:pPr>
    </w:p>
    <w:p w:rsidR="00BF2537" w:rsidRPr="002934D0" w:rsidRDefault="00BF2537" w:rsidP="0031412B">
      <w:pPr>
        <w:pStyle w:val="Default"/>
        <w:numPr>
          <w:ilvl w:val="0"/>
          <w:numId w:val="3"/>
        </w:numPr>
        <w:spacing w:line="276" w:lineRule="auto"/>
        <w:jc w:val="both"/>
        <w:rPr>
          <w:color w:val="auto"/>
        </w:rPr>
      </w:pPr>
      <w:r w:rsidRPr="002934D0">
        <w:rPr>
          <w:color w:val="auto"/>
        </w:rPr>
        <w:t xml:space="preserve">Deri ve yumuşak doku </w:t>
      </w:r>
      <w:proofErr w:type="gramStart"/>
      <w:r w:rsidRPr="002934D0">
        <w:rPr>
          <w:color w:val="auto"/>
        </w:rPr>
        <w:t>enfeksiyonları</w:t>
      </w:r>
      <w:proofErr w:type="gramEnd"/>
      <w:r w:rsidRPr="002934D0">
        <w:rPr>
          <w:color w:val="auto"/>
        </w:rPr>
        <w:t xml:space="preserve"> </w:t>
      </w:r>
    </w:p>
    <w:p w:rsidR="00BF2537" w:rsidRPr="002934D0" w:rsidRDefault="00BF2537" w:rsidP="0031412B">
      <w:pPr>
        <w:pStyle w:val="Default"/>
        <w:spacing w:line="276" w:lineRule="auto"/>
        <w:jc w:val="both"/>
        <w:rPr>
          <w:color w:val="auto"/>
        </w:rPr>
      </w:pPr>
      <w:r w:rsidRPr="002934D0">
        <w:rPr>
          <w:color w:val="auto"/>
        </w:rPr>
        <w:t xml:space="preserve">Metisiline duyarlı </w:t>
      </w:r>
      <w:r w:rsidRPr="002934D0">
        <w:rPr>
          <w:i/>
          <w:iCs/>
          <w:color w:val="auto"/>
        </w:rPr>
        <w:t xml:space="preserve">Staphylococcus aureus, Enterococcus faecalis, Streptococcus pyogenes </w:t>
      </w:r>
      <w:r w:rsidRPr="002934D0">
        <w:rPr>
          <w:color w:val="auto"/>
        </w:rPr>
        <w:t xml:space="preserve">veya </w:t>
      </w:r>
      <w:r w:rsidRPr="002934D0">
        <w:rPr>
          <w:i/>
          <w:iCs/>
          <w:color w:val="auto"/>
        </w:rPr>
        <w:t>Proteus mirabilis’</w:t>
      </w:r>
      <w:r w:rsidRPr="002934D0">
        <w:rPr>
          <w:color w:val="auto"/>
        </w:rPr>
        <w:t xml:space="preserve">in neden olduğu komplikasyonlu deri ve deri ekleri enfeksiyonları ve </w:t>
      </w:r>
      <w:r w:rsidRPr="002934D0">
        <w:rPr>
          <w:i/>
          <w:iCs/>
          <w:color w:val="auto"/>
        </w:rPr>
        <w:t xml:space="preserve">Staphylococcus aureus </w:t>
      </w:r>
      <w:r w:rsidRPr="002934D0">
        <w:rPr>
          <w:color w:val="auto"/>
        </w:rPr>
        <w:t xml:space="preserve">veya </w:t>
      </w:r>
      <w:r w:rsidRPr="002934D0">
        <w:rPr>
          <w:i/>
          <w:iCs/>
          <w:color w:val="auto"/>
        </w:rPr>
        <w:t>Streptococcus pyogenes</w:t>
      </w:r>
      <w:r w:rsidRPr="002934D0">
        <w:rPr>
          <w:color w:val="auto"/>
        </w:rPr>
        <w:t xml:space="preserve">’in neden olduğu abse, selülit, furonkül, impetigo, piyoderma, yara enfeksiyonlarının </w:t>
      </w:r>
      <w:proofErr w:type="gramStart"/>
      <w:r w:rsidRPr="002934D0">
        <w:rPr>
          <w:color w:val="auto"/>
        </w:rPr>
        <w:t>dahil</w:t>
      </w:r>
      <w:proofErr w:type="gramEnd"/>
      <w:r w:rsidRPr="002934D0">
        <w:rPr>
          <w:color w:val="auto"/>
        </w:rPr>
        <w:t xml:space="preserve"> olduğu komplikasyonsuz deri ve deri ekleri enfeksiyonları </w:t>
      </w:r>
    </w:p>
    <w:p w:rsidR="00A30048" w:rsidRPr="002934D0" w:rsidRDefault="00A30048" w:rsidP="0031412B">
      <w:pPr>
        <w:pStyle w:val="Default"/>
        <w:spacing w:line="276" w:lineRule="auto"/>
        <w:jc w:val="both"/>
        <w:rPr>
          <w:color w:val="auto"/>
        </w:rPr>
      </w:pPr>
    </w:p>
    <w:p w:rsidR="00BF2537" w:rsidRPr="002934D0" w:rsidRDefault="00BF2537" w:rsidP="0031412B">
      <w:pPr>
        <w:pStyle w:val="Default"/>
        <w:numPr>
          <w:ilvl w:val="0"/>
          <w:numId w:val="3"/>
        </w:numPr>
        <w:spacing w:line="276" w:lineRule="auto"/>
        <w:jc w:val="both"/>
        <w:rPr>
          <w:color w:val="auto"/>
        </w:rPr>
      </w:pPr>
      <w:r w:rsidRPr="002934D0">
        <w:rPr>
          <w:color w:val="auto"/>
        </w:rPr>
        <w:t xml:space="preserve">Şarbon İnhalasyonu </w:t>
      </w:r>
    </w:p>
    <w:p w:rsidR="00BF2537" w:rsidRPr="002934D0" w:rsidRDefault="00BF2537" w:rsidP="0031412B">
      <w:pPr>
        <w:pStyle w:val="Default"/>
        <w:spacing w:line="276" w:lineRule="auto"/>
        <w:jc w:val="both"/>
        <w:rPr>
          <w:color w:val="auto"/>
        </w:rPr>
      </w:pPr>
      <w:r w:rsidRPr="002934D0">
        <w:rPr>
          <w:color w:val="auto"/>
        </w:rPr>
        <w:t xml:space="preserve">Havaya karışmış </w:t>
      </w:r>
      <w:r w:rsidRPr="002934D0">
        <w:rPr>
          <w:i/>
          <w:iCs/>
          <w:color w:val="auto"/>
        </w:rPr>
        <w:t>Bacillus antracis</w:t>
      </w:r>
      <w:r w:rsidRPr="002934D0">
        <w:rPr>
          <w:color w:val="auto"/>
        </w:rPr>
        <w:t xml:space="preserve">’e maruziyet sonrası profilaksi ve küratif tedavi </w:t>
      </w:r>
    </w:p>
    <w:p w:rsidR="00A30048" w:rsidRPr="002934D0" w:rsidRDefault="00A30048" w:rsidP="0031412B">
      <w:pPr>
        <w:spacing w:after="0"/>
        <w:jc w:val="both"/>
        <w:rPr>
          <w:rFonts w:ascii="Times New Roman" w:hAnsi="Times New Roman" w:cs="Times New Roman"/>
          <w:sz w:val="24"/>
          <w:szCs w:val="24"/>
        </w:rPr>
      </w:pPr>
    </w:p>
    <w:p w:rsidR="00616E59" w:rsidRPr="002934D0" w:rsidRDefault="00BF2537"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Antibakteriyel ajanların uygun kullanımı ve patojenlerin yerel duyarlılığı konusunda, resmi ulusal kılavuzlar dikkate alınmalıdır (bkz. Bölüm </w:t>
      </w:r>
      <w:proofErr w:type="gramStart"/>
      <w:r w:rsidRPr="002934D0">
        <w:rPr>
          <w:rFonts w:ascii="Times New Roman" w:hAnsi="Times New Roman" w:cs="Times New Roman"/>
          <w:sz w:val="24"/>
          <w:szCs w:val="24"/>
        </w:rPr>
        <w:t>4.4</w:t>
      </w:r>
      <w:proofErr w:type="gramEnd"/>
      <w:r w:rsidRPr="002934D0">
        <w:rPr>
          <w:rFonts w:ascii="Times New Roman" w:hAnsi="Times New Roman" w:cs="Times New Roman"/>
          <w:sz w:val="24"/>
          <w:szCs w:val="24"/>
        </w:rPr>
        <w:t>) .</w:t>
      </w:r>
    </w:p>
    <w:p w:rsidR="00A30048" w:rsidRPr="002934D0" w:rsidRDefault="00A30048" w:rsidP="0031412B">
      <w:pPr>
        <w:spacing w:after="0"/>
        <w:jc w:val="both"/>
        <w:rPr>
          <w:rFonts w:ascii="Times New Roman" w:hAnsi="Times New Roman" w:cs="Times New Roman"/>
          <w:sz w:val="24"/>
          <w:szCs w:val="24"/>
        </w:rPr>
      </w:pPr>
    </w:p>
    <w:p w:rsidR="00BE6FEB" w:rsidRPr="002934D0" w:rsidRDefault="00BE6FEB"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Pozoloji ve uygulama şekli</w:t>
      </w:r>
    </w:p>
    <w:p w:rsidR="00A30048" w:rsidRPr="002934D0" w:rsidRDefault="009D194E" w:rsidP="0031412B">
      <w:pPr>
        <w:spacing w:after="0"/>
        <w:jc w:val="both"/>
        <w:rPr>
          <w:rFonts w:ascii="Times New Roman" w:hAnsi="Times New Roman" w:cs="Times New Roman"/>
          <w:b/>
          <w:sz w:val="24"/>
          <w:szCs w:val="24"/>
        </w:rPr>
      </w:pPr>
      <w:r w:rsidRPr="002934D0">
        <w:rPr>
          <w:rFonts w:ascii="Times New Roman" w:hAnsi="Times New Roman" w:cs="Times New Roman"/>
          <w:sz w:val="24"/>
          <w:szCs w:val="24"/>
        </w:rPr>
        <w:t xml:space="preserve">FLOXİLEVO </w:t>
      </w:r>
      <w:r w:rsidR="00A30048" w:rsidRPr="002934D0">
        <w:rPr>
          <w:rFonts w:ascii="Times New Roman" w:hAnsi="Times New Roman" w:cs="Times New Roman"/>
          <w:sz w:val="24"/>
          <w:szCs w:val="24"/>
        </w:rPr>
        <w:t xml:space="preserve">günde bir veya iki kez uygulanır. Dozaj </w:t>
      </w:r>
      <w:proofErr w:type="gramStart"/>
      <w:r w:rsidR="00A30048" w:rsidRPr="002934D0">
        <w:rPr>
          <w:rFonts w:ascii="Times New Roman" w:hAnsi="Times New Roman" w:cs="Times New Roman"/>
          <w:sz w:val="24"/>
          <w:szCs w:val="24"/>
        </w:rPr>
        <w:t>enfeksiyonun</w:t>
      </w:r>
      <w:proofErr w:type="gramEnd"/>
      <w:r w:rsidR="00A30048" w:rsidRPr="002934D0">
        <w:rPr>
          <w:rFonts w:ascii="Times New Roman" w:hAnsi="Times New Roman" w:cs="Times New Roman"/>
          <w:sz w:val="24"/>
          <w:szCs w:val="24"/>
        </w:rPr>
        <w:t xml:space="preserve"> tipine ve şiddetine ve ayrıca etken patojenin duyarlılığına bağlıdır.</w:t>
      </w:r>
    </w:p>
    <w:p w:rsidR="00A30048" w:rsidRPr="002934D0" w:rsidRDefault="00A30048" w:rsidP="0031412B">
      <w:pPr>
        <w:spacing w:after="0"/>
        <w:jc w:val="both"/>
        <w:rPr>
          <w:rFonts w:ascii="Times New Roman" w:hAnsi="Times New Roman" w:cs="Times New Roman"/>
          <w:b/>
          <w:sz w:val="24"/>
          <w:szCs w:val="24"/>
        </w:rPr>
      </w:pPr>
    </w:p>
    <w:p w:rsidR="00A30048" w:rsidRPr="002934D0" w:rsidRDefault="00BE6FEB"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t>Pozoloji</w:t>
      </w:r>
      <w:r w:rsidR="00A30048" w:rsidRPr="002934D0">
        <w:rPr>
          <w:rFonts w:ascii="Times New Roman" w:hAnsi="Times New Roman" w:cs="Times New Roman"/>
          <w:b/>
          <w:sz w:val="24"/>
          <w:szCs w:val="24"/>
        </w:rPr>
        <w:t>:</w:t>
      </w:r>
    </w:p>
    <w:p w:rsidR="00A30048" w:rsidRPr="002934D0" w:rsidRDefault="009D194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FLOXİLEVO </w:t>
      </w:r>
      <w:r w:rsidR="00A30048" w:rsidRPr="002934D0">
        <w:rPr>
          <w:rFonts w:ascii="Times New Roman" w:hAnsi="Times New Roman" w:cs="Times New Roman"/>
          <w:sz w:val="24"/>
          <w:szCs w:val="24"/>
        </w:rPr>
        <w:t>’</w:t>
      </w:r>
      <w:r w:rsidRPr="002934D0">
        <w:rPr>
          <w:rFonts w:ascii="Times New Roman" w:hAnsi="Times New Roman" w:cs="Times New Roman"/>
          <w:sz w:val="24"/>
          <w:szCs w:val="24"/>
        </w:rPr>
        <w:t>nu</w:t>
      </w:r>
      <w:r w:rsidR="00A30048" w:rsidRPr="002934D0">
        <w:rPr>
          <w:rFonts w:ascii="Times New Roman" w:hAnsi="Times New Roman" w:cs="Times New Roman"/>
          <w:sz w:val="24"/>
          <w:szCs w:val="24"/>
        </w:rPr>
        <w:t>n aşağıda belirtilen dozlarda erişkinler için uygulanması önerilir:</w:t>
      </w:r>
    </w:p>
    <w:p w:rsidR="00A30048" w:rsidRPr="002934D0" w:rsidRDefault="00A30048" w:rsidP="0031412B">
      <w:pPr>
        <w:spacing w:after="0"/>
        <w:jc w:val="both"/>
        <w:rPr>
          <w:rFonts w:ascii="Times New Roman" w:hAnsi="Times New Roman" w:cs="Times New Roman"/>
          <w:b/>
          <w:sz w:val="24"/>
          <w:szCs w:val="24"/>
        </w:rPr>
      </w:pPr>
    </w:p>
    <w:p w:rsidR="00616E59" w:rsidRPr="002934D0" w:rsidRDefault="00A30048" w:rsidP="0031412B">
      <w:pPr>
        <w:spacing w:after="0"/>
        <w:jc w:val="both"/>
        <w:rPr>
          <w:rFonts w:ascii="Times New Roman" w:hAnsi="Times New Roman" w:cs="Times New Roman"/>
          <w:b/>
          <w:bCs/>
          <w:i/>
          <w:iCs/>
          <w:sz w:val="24"/>
          <w:szCs w:val="24"/>
        </w:rPr>
      </w:pPr>
      <w:r w:rsidRPr="002934D0">
        <w:rPr>
          <w:rFonts w:ascii="Times New Roman" w:hAnsi="Times New Roman" w:cs="Times New Roman"/>
          <w:b/>
          <w:bCs/>
          <w:i/>
          <w:iCs/>
          <w:sz w:val="24"/>
          <w:szCs w:val="24"/>
        </w:rPr>
        <w:t>Böbrek fonksiyonları normal (kreatinin klirensi &gt; 50ml/dakika) olan hastalarda dozaj</w:t>
      </w:r>
    </w:p>
    <w:p w:rsidR="009D194E" w:rsidRPr="002934D0" w:rsidRDefault="009D194E" w:rsidP="0031412B">
      <w:pPr>
        <w:spacing w:after="0"/>
        <w:jc w:val="both"/>
        <w:rPr>
          <w:rFonts w:ascii="Times New Roman" w:hAnsi="Times New Roman" w:cs="Times New Roman"/>
          <w:b/>
          <w:bCs/>
          <w:i/>
          <w:iCs/>
          <w:sz w:val="24"/>
          <w:szCs w:val="24"/>
        </w:rPr>
      </w:pPr>
    </w:p>
    <w:tbl>
      <w:tblPr>
        <w:tblStyle w:val="TabloKlavuzu"/>
        <w:tblW w:w="0" w:type="auto"/>
        <w:tblLook w:val="04A0"/>
      </w:tblPr>
      <w:tblGrid>
        <w:gridCol w:w="3070"/>
        <w:gridCol w:w="3071"/>
        <w:gridCol w:w="3071"/>
      </w:tblGrid>
      <w:tr w:rsidR="00A30048" w:rsidRPr="002934D0" w:rsidTr="00A30048">
        <w:tc>
          <w:tcPr>
            <w:tcW w:w="3070" w:type="dxa"/>
          </w:tcPr>
          <w:p w:rsidR="00A30048" w:rsidRPr="002934D0" w:rsidRDefault="00A30048" w:rsidP="0031412B">
            <w:pPr>
              <w:pStyle w:val="Default"/>
              <w:spacing w:line="276" w:lineRule="auto"/>
              <w:rPr>
                <w:color w:val="auto"/>
              </w:rPr>
            </w:pPr>
            <w:r w:rsidRPr="002934D0">
              <w:rPr>
                <w:b/>
                <w:bCs/>
                <w:color w:val="auto"/>
              </w:rPr>
              <w:t xml:space="preserve">Endikasyon </w:t>
            </w:r>
          </w:p>
        </w:tc>
        <w:tc>
          <w:tcPr>
            <w:tcW w:w="3071" w:type="dxa"/>
          </w:tcPr>
          <w:p w:rsidR="00A30048" w:rsidRPr="002934D0" w:rsidRDefault="00A30048" w:rsidP="0031412B">
            <w:pPr>
              <w:pStyle w:val="Default"/>
              <w:spacing w:line="276" w:lineRule="auto"/>
              <w:jc w:val="both"/>
              <w:rPr>
                <w:color w:val="auto"/>
              </w:rPr>
            </w:pPr>
            <w:r w:rsidRPr="002934D0">
              <w:rPr>
                <w:b/>
                <w:bCs/>
                <w:color w:val="auto"/>
              </w:rPr>
              <w:t xml:space="preserve">Günlük dozaj </w:t>
            </w:r>
          </w:p>
          <w:p w:rsidR="00A30048" w:rsidRPr="002934D0" w:rsidRDefault="00A30048" w:rsidP="0031412B">
            <w:pPr>
              <w:pStyle w:val="Default"/>
              <w:spacing w:line="276" w:lineRule="auto"/>
              <w:jc w:val="both"/>
              <w:rPr>
                <w:i/>
                <w:color w:val="auto"/>
              </w:rPr>
            </w:pPr>
            <w:r w:rsidRPr="002934D0">
              <w:rPr>
                <w:i/>
                <w:color w:val="auto"/>
              </w:rPr>
              <w:t>(</w:t>
            </w:r>
            <w:proofErr w:type="gramStart"/>
            <w:r w:rsidRPr="002934D0">
              <w:rPr>
                <w:i/>
                <w:color w:val="auto"/>
              </w:rPr>
              <w:t>enfeksiyonun</w:t>
            </w:r>
            <w:proofErr w:type="gramEnd"/>
            <w:r w:rsidRPr="002934D0">
              <w:rPr>
                <w:i/>
                <w:color w:val="auto"/>
              </w:rPr>
              <w:t xml:space="preserve"> şiddetine göre) </w:t>
            </w:r>
          </w:p>
        </w:tc>
        <w:tc>
          <w:tcPr>
            <w:tcW w:w="3071" w:type="dxa"/>
          </w:tcPr>
          <w:p w:rsidR="00A30048" w:rsidRPr="002934D0" w:rsidRDefault="00A30048" w:rsidP="0031412B">
            <w:pPr>
              <w:pStyle w:val="Default"/>
              <w:spacing w:line="276" w:lineRule="auto"/>
              <w:jc w:val="both"/>
              <w:rPr>
                <w:color w:val="auto"/>
              </w:rPr>
            </w:pPr>
            <w:r w:rsidRPr="002934D0">
              <w:rPr>
                <w:b/>
                <w:bCs/>
                <w:color w:val="auto"/>
              </w:rPr>
              <w:t xml:space="preserve">Tedavi süresi </w:t>
            </w:r>
          </w:p>
          <w:p w:rsidR="00A30048" w:rsidRPr="002934D0" w:rsidRDefault="00A30048" w:rsidP="0031412B">
            <w:pPr>
              <w:pStyle w:val="Default"/>
              <w:spacing w:line="276" w:lineRule="auto"/>
              <w:jc w:val="both"/>
              <w:rPr>
                <w:color w:val="auto"/>
              </w:rPr>
            </w:pPr>
            <w:r w:rsidRPr="002934D0">
              <w:rPr>
                <w:color w:val="auto"/>
              </w:rPr>
              <w:t>(</w:t>
            </w:r>
            <w:proofErr w:type="gramStart"/>
            <w:r w:rsidRPr="002934D0">
              <w:rPr>
                <w:color w:val="auto"/>
              </w:rPr>
              <w:t>enfeksiyonun</w:t>
            </w:r>
            <w:proofErr w:type="gramEnd"/>
            <w:r w:rsidRPr="002934D0">
              <w:rPr>
                <w:color w:val="auto"/>
              </w:rPr>
              <w:t xml:space="preserve"> şiddetine göre) </w:t>
            </w:r>
          </w:p>
        </w:tc>
      </w:tr>
      <w:tr w:rsidR="00A30048" w:rsidRPr="002934D0" w:rsidTr="00A30048">
        <w:tc>
          <w:tcPr>
            <w:tcW w:w="3070" w:type="dxa"/>
          </w:tcPr>
          <w:p w:rsidR="00A30048" w:rsidRPr="002934D0" w:rsidRDefault="00A30048" w:rsidP="0031412B">
            <w:pPr>
              <w:pStyle w:val="Default"/>
              <w:spacing w:line="276" w:lineRule="auto"/>
              <w:rPr>
                <w:color w:val="auto"/>
              </w:rPr>
            </w:pPr>
            <w:r w:rsidRPr="002934D0">
              <w:rPr>
                <w:color w:val="auto"/>
              </w:rPr>
              <w:t xml:space="preserve">Akut sinüzit**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Günde tek doz 500 mg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10-14 gün </w:t>
            </w:r>
          </w:p>
        </w:tc>
      </w:tr>
      <w:tr w:rsidR="00A30048" w:rsidRPr="002934D0" w:rsidTr="00A30048">
        <w:tc>
          <w:tcPr>
            <w:tcW w:w="3070" w:type="dxa"/>
          </w:tcPr>
          <w:p w:rsidR="00A30048" w:rsidRPr="002934D0" w:rsidRDefault="00A30048" w:rsidP="0031412B">
            <w:pPr>
              <w:pStyle w:val="Default"/>
              <w:spacing w:line="276" w:lineRule="auto"/>
              <w:rPr>
                <w:color w:val="auto"/>
              </w:rPr>
            </w:pPr>
            <w:r w:rsidRPr="002934D0">
              <w:rPr>
                <w:color w:val="auto"/>
              </w:rPr>
              <w:t xml:space="preserve">Kronik bronşitin akut alevlenmesi**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Günde tek doz 250 – 500 mg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7-10 gün </w:t>
            </w:r>
          </w:p>
        </w:tc>
      </w:tr>
      <w:tr w:rsidR="00A30048" w:rsidRPr="002934D0" w:rsidTr="00A30048">
        <w:tc>
          <w:tcPr>
            <w:tcW w:w="3070" w:type="dxa"/>
          </w:tcPr>
          <w:p w:rsidR="00A30048" w:rsidRPr="002934D0" w:rsidRDefault="00A30048" w:rsidP="0031412B">
            <w:pPr>
              <w:pStyle w:val="Default"/>
              <w:spacing w:line="276" w:lineRule="auto"/>
              <w:rPr>
                <w:color w:val="auto"/>
              </w:rPr>
            </w:pPr>
            <w:r w:rsidRPr="002934D0">
              <w:rPr>
                <w:color w:val="auto"/>
              </w:rPr>
              <w:t xml:space="preserve">Toplumdan edinilmiş pnömoni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Günde tek doz veya 2 kez 500 mg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7-14 gün </w:t>
            </w:r>
          </w:p>
        </w:tc>
      </w:tr>
      <w:tr w:rsidR="00A30048" w:rsidRPr="002934D0" w:rsidTr="00A30048">
        <w:tc>
          <w:tcPr>
            <w:tcW w:w="3070" w:type="dxa"/>
          </w:tcPr>
          <w:p w:rsidR="00A30048" w:rsidRPr="002934D0" w:rsidRDefault="00A30048" w:rsidP="0031412B">
            <w:pPr>
              <w:pStyle w:val="Default"/>
              <w:spacing w:line="276" w:lineRule="auto"/>
              <w:rPr>
                <w:color w:val="auto"/>
              </w:rPr>
            </w:pPr>
            <w:r w:rsidRPr="002934D0">
              <w:rPr>
                <w:color w:val="auto"/>
              </w:rPr>
              <w:t xml:space="preserve">Piyelonefrit </w:t>
            </w:r>
            <w:proofErr w:type="gramStart"/>
            <w:r w:rsidRPr="002934D0">
              <w:rPr>
                <w:color w:val="auto"/>
              </w:rPr>
              <w:t>dahil</w:t>
            </w:r>
            <w:proofErr w:type="gramEnd"/>
            <w:r w:rsidRPr="002934D0">
              <w:rPr>
                <w:color w:val="auto"/>
              </w:rPr>
              <w:t xml:space="preserve">, komplikasyonlu </w:t>
            </w:r>
          </w:p>
          <w:p w:rsidR="00A30048" w:rsidRPr="002934D0" w:rsidRDefault="00A30048" w:rsidP="0031412B">
            <w:pPr>
              <w:pStyle w:val="Default"/>
              <w:spacing w:line="276" w:lineRule="auto"/>
              <w:rPr>
                <w:color w:val="auto"/>
              </w:rPr>
            </w:pPr>
            <w:r w:rsidRPr="002934D0">
              <w:rPr>
                <w:color w:val="auto"/>
              </w:rPr>
              <w:t xml:space="preserve">üriner sistem </w:t>
            </w:r>
            <w:proofErr w:type="gramStart"/>
            <w:r w:rsidRPr="002934D0">
              <w:rPr>
                <w:color w:val="auto"/>
              </w:rPr>
              <w:t>enfeksiyonları</w:t>
            </w:r>
            <w:proofErr w:type="gramEnd"/>
            <w:r w:rsidRPr="002934D0">
              <w:rPr>
                <w:color w:val="auto"/>
              </w:rPr>
              <w:t xml:space="preserve">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Günde tek doz 250 mg*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7-10 gün </w:t>
            </w:r>
          </w:p>
        </w:tc>
      </w:tr>
      <w:tr w:rsidR="00A30048" w:rsidRPr="002934D0" w:rsidTr="00A30048">
        <w:tc>
          <w:tcPr>
            <w:tcW w:w="3070" w:type="dxa"/>
          </w:tcPr>
          <w:p w:rsidR="00A30048" w:rsidRPr="002934D0" w:rsidRDefault="00A30048" w:rsidP="0031412B">
            <w:pPr>
              <w:pStyle w:val="Default"/>
              <w:spacing w:line="276" w:lineRule="auto"/>
              <w:rPr>
                <w:color w:val="auto"/>
              </w:rPr>
            </w:pPr>
            <w:r w:rsidRPr="002934D0">
              <w:rPr>
                <w:color w:val="auto"/>
              </w:rPr>
              <w:t xml:space="preserve">Deri ve yumuşak doku </w:t>
            </w:r>
            <w:proofErr w:type="gramStart"/>
            <w:r w:rsidRPr="002934D0">
              <w:rPr>
                <w:color w:val="auto"/>
              </w:rPr>
              <w:t>enfeksiyonları</w:t>
            </w:r>
            <w:proofErr w:type="gramEnd"/>
            <w:r w:rsidRPr="002934D0">
              <w:rPr>
                <w:color w:val="auto"/>
              </w:rPr>
              <w:t xml:space="preserve">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Günde tek doz 250 mg veya </w:t>
            </w:r>
          </w:p>
          <w:p w:rsidR="00A30048" w:rsidRPr="002934D0" w:rsidRDefault="00A30048" w:rsidP="0031412B">
            <w:pPr>
              <w:pStyle w:val="Default"/>
              <w:spacing w:line="276" w:lineRule="auto"/>
              <w:jc w:val="both"/>
              <w:rPr>
                <w:color w:val="auto"/>
              </w:rPr>
            </w:pPr>
            <w:proofErr w:type="gramStart"/>
            <w:r w:rsidRPr="002934D0">
              <w:rPr>
                <w:color w:val="auto"/>
              </w:rPr>
              <w:t>tek</w:t>
            </w:r>
            <w:proofErr w:type="gramEnd"/>
            <w:r w:rsidRPr="002934D0">
              <w:rPr>
                <w:color w:val="auto"/>
              </w:rPr>
              <w:t xml:space="preserve"> doz veya iki kez 500 mg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7-14 gün </w:t>
            </w:r>
          </w:p>
        </w:tc>
      </w:tr>
      <w:tr w:rsidR="00A30048" w:rsidRPr="002934D0" w:rsidTr="00A30048">
        <w:tc>
          <w:tcPr>
            <w:tcW w:w="3070" w:type="dxa"/>
          </w:tcPr>
          <w:p w:rsidR="00A30048" w:rsidRPr="002934D0" w:rsidRDefault="00A30048" w:rsidP="0031412B">
            <w:pPr>
              <w:pStyle w:val="Default"/>
              <w:spacing w:line="276" w:lineRule="auto"/>
              <w:rPr>
                <w:color w:val="auto"/>
              </w:rPr>
            </w:pPr>
            <w:r w:rsidRPr="002934D0">
              <w:rPr>
                <w:color w:val="auto"/>
              </w:rPr>
              <w:t xml:space="preserve">Kronik bakteriyal prostatit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Günde tek doz 500 mg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28 gün </w:t>
            </w:r>
          </w:p>
        </w:tc>
      </w:tr>
      <w:tr w:rsidR="00A30048" w:rsidRPr="002934D0" w:rsidTr="00A30048">
        <w:tc>
          <w:tcPr>
            <w:tcW w:w="3070" w:type="dxa"/>
          </w:tcPr>
          <w:p w:rsidR="00A30048" w:rsidRPr="002934D0" w:rsidRDefault="00A30048" w:rsidP="0031412B">
            <w:pPr>
              <w:pStyle w:val="Default"/>
              <w:spacing w:line="276" w:lineRule="auto"/>
              <w:rPr>
                <w:color w:val="auto"/>
              </w:rPr>
            </w:pPr>
            <w:r w:rsidRPr="002934D0">
              <w:rPr>
                <w:color w:val="auto"/>
              </w:rPr>
              <w:t xml:space="preserve">Şarbon inhalasyonu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Günde tek doz 500 mg </w:t>
            </w:r>
          </w:p>
        </w:tc>
        <w:tc>
          <w:tcPr>
            <w:tcW w:w="3071" w:type="dxa"/>
          </w:tcPr>
          <w:p w:rsidR="00A30048" w:rsidRPr="002934D0" w:rsidRDefault="00A30048" w:rsidP="0031412B">
            <w:pPr>
              <w:pStyle w:val="Default"/>
              <w:spacing w:line="276" w:lineRule="auto"/>
              <w:jc w:val="both"/>
              <w:rPr>
                <w:color w:val="auto"/>
              </w:rPr>
            </w:pPr>
            <w:r w:rsidRPr="002934D0">
              <w:rPr>
                <w:color w:val="auto"/>
              </w:rPr>
              <w:t xml:space="preserve">8 hafta </w:t>
            </w:r>
          </w:p>
        </w:tc>
      </w:tr>
    </w:tbl>
    <w:p w:rsidR="00A30048" w:rsidRPr="002934D0" w:rsidRDefault="00A30048" w:rsidP="0031412B">
      <w:pPr>
        <w:spacing w:after="0"/>
        <w:jc w:val="both"/>
        <w:rPr>
          <w:rFonts w:ascii="Times New Roman" w:hAnsi="Times New Roman" w:cs="Times New Roman"/>
          <w:sz w:val="24"/>
          <w:szCs w:val="24"/>
        </w:rPr>
      </w:pPr>
    </w:p>
    <w:p w:rsidR="00A30048" w:rsidRPr="002934D0" w:rsidRDefault="00A30048" w:rsidP="0031412B">
      <w:pPr>
        <w:pStyle w:val="Default"/>
        <w:spacing w:line="276" w:lineRule="auto"/>
        <w:jc w:val="both"/>
        <w:rPr>
          <w:color w:val="auto"/>
        </w:rPr>
      </w:pPr>
      <w:r w:rsidRPr="002934D0">
        <w:rPr>
          <w:i/>
          <w:iCs/>
          <w:color w:val="auto"/>
        </w:rPr>
        <w:t xml:space="preserve">*Şiddetli </w:t>
      </w:r>
      <w:proofErr w:type="gramStart"/>
      <w:r w:rsidRPr="002934D0">
        <w:rPr>
          <w:i/>
          <w:iCs/>
          <w:color w:val="auto"/>
        </w:rPr>
        <w:t>enfeksiyon</w:t>
      </w:r>
      <w:proofErr w:type="gramEnd"/>
      <w:r w:rsidRPr="002934D0">
        <w:rPr>
          <w:i/>
          <w:iCs/>
          <w:color w:val="auto"/>
        </w:rPr>
        <w:t xml:space="preserve"> vakalarında dozajın artırılması düşünülmelidir. </w:t>
      </w:r>
    </w:p>
    <w:p w:rsidR="00A30048" w:rsidRPr="002934D0" w:rsidRDefault="00A30048" w:rsidP="0031412B">
      <w:pPr>
        <w:spacing w:after="0"/>
        <w:jc w:val="both"/>
        <w:rPr>
          <w:rFonts w:ascii="Times New Roman" w:hAnsi="Times New Roman" w:cs="Times New Roman"/>
          <w:i/>
          <w:iCs/>
          <w:sz w:val="24"/>
          <w:szCs w:val="24"/>
        </w:rPr>
      </w:pPr>
      <w:r w:rsidRPr="002934D0">
        <w:rPr>
          <w:rFonts w:ascii="Times New Roman" w:hAnsi="Times New Roman" w:cs="Times New Roman"/>
          <w:i/>
          <w:iCs/>
          <w:sz w:val="24"/>
          <w:szCs w:val="24"/>
        </w:rPr>
        <w:t>**Sadece oral kullanım için</w:t>
      </w:r>
    </w:p>
    <w:p w:rsidR="00BE6FEB" w:rsidRPr="002934D0" w:rsidRDefault="00BE6FEB"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lastRenderedPageBreak/>
        <w:t>Uygulama şekli:</w:t>
      </w:r>
    </w:p>
    <w:p w:rsidR="00616E59" w:rsidRPr="002934D0" w:rsidRDefault="009D194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FLOXİLEVO</w:t>
      </w:r>
      <w:r w:rsidR="00A30048" w:rsidRPr="002934D0">
        <w:rPr>
          <w:rFonts w:ascii="Times New Roman" w:hAnsi="Times New Roman" w:cs="Times New Roman"/>
          <w:sz w:val="24"/>
          <w:szCs w:val="24"/>
        </w:rPr>
        <w:t xml:space="preserve"> ezilmeden, yeterli miktarda sıvıyla yutulmalıdır. Dozaja uyulmak için çentik çizgisinden bölünebilir. Film kaplı tabletler yemeklerle beraber veya yemek arasında alınabilir. Emiliminde azalma olabileceğinden, </w:t>
      </w:r>
      <w:r w:rsidRPr="002934D0">
        <w:rPr>
          <w:rFonts w:ascii="Times New Roman" w:hAnsi="Times New Roman" w:cs="Times New Roman"/>
          <w:sz w:val="24"/>
          <w:szCs w:val="24"/>
        </w:rPr>
        <w:t>FLOXİLEVO</w:t>
      </w:r>
      <w:r w:rsidR="00A30048" w:rsidRPr="002934D0">
        <w:rPr>
          <w:rFonts w:ascii="Times New Roman" w:hAnsi="Times New Roman" w:cs="Times New Roman"/>
          <w:sz w:val="24"/>
          <w:szCs w:val="24"/>
        </w:rPr>
        <w:t xml:space="preserve"> magnezyum veya alüminyum veya demir veya çinko içeren ilaçların veya sukralfatın uygulanmasından en az iki saat önce veya sonra alınmalıdır. (Bkz. Bölüm </w:t>
      </w:r>
      <w:proofErr w:type="gramStart"/>
      <w:r w:rsidR="00A30048" w:rsidRPr="002934D0">
        <w:rPr>
          <w:rFonts w:ascii="Times New Roman" w:hAnsi="Times New Roman" w:cs="Times New Roman"/>
          <w:sz w:val="24"/>
          <w:szCs w:val="24"/>
        </w:rPr>
        <w:t>4.5</w:t>
      </w:r>
      <w:proofErr w:type="gramEnd"/>
      <w:r w:rsidR="00A30048" w:rsidRPr="002934D0">
        <w:rPr>
          <w:rFonts w:ascii="Times New Roman" w:hAnsi="Times New Roman" w:cs="Times New Roman"/>
          <w:sz w:val="24"/>
          <w:szCs w:val="24"/>
        </w:rPr>
        <w:t>)</w:t>
      </w:r>
    </w:p>
    <w:p w:rsidR="00A30048" w:rsidRPr="002934D0" w:rsidRDefault="00A30048" w:rsidP="0031412B">
      <w:pPr>
        <w:spacing w:after="0"/>
        <w:jc w:val="both"/>
        <w:rPr>
          <w:rFonts w:ascii="Times New Roman" w:hAnsi="Times New Roman" w:cs="Times New Roman"/>
          <w:sz w:val="24"/>
          <w:szCs w:val="24"/>
        </w:rPr>
      </w:pPr>
    </w:p>
    <w:p w:rsidR="00A30048" w:rsidRPr="002934D0" w:rsidRDefault="00A30048" w:rsidP="0031412B">
      <w:pPr>
        <w:pStyle w:val="Default"/>
        <w:spacing w:line="276" w:lineRule="auto"/>
        <w:jc w:val="both"/>
        <w:rPr>
          <w:color w:val="auto"/>
        </w:rPr>
      </w:pPr>
      <w:r w:rsidRPr="002934D0">
        <w:rPr>
          <w:b/>
          <w:bCs/>
          <w:color w:val="auto"/>
        </w:rPr>
        <w:t xml:space="preserve">Tedavinin süresi </w:t>
      </w:r>
    </w:p>
    <w:p w:rsidR="00A30048" w:rsidRPr="002934D0" w:rsidRDefault="00A30048"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Tedavinin süresi hastalığın seyrine bağlıdır (Yukarıdaki tabloya bakınız). Genel olarak bütün antibiyotik tedavilerinde olduğu gibi, </w:t>
      </w:r>
      <w:r w:rsidR="009D194E" w:rsidRPr="002934D0">
        <w:rPr>
          <w:rFonts w:ascii="Times New Roman" w:hAnsi="Times New Roman" w:cs="Times New Roman"/>
          <w:sz w:val="24"/>
          <w:szCs w:val="24"/>
        </w:rPr>
        <w:t>FLOXİLEVO</w:t>
      </w:r>
      <w:r w:rsidRPr="002934D0">
        <w:rPr>
          <w:rFonts w:ascii="Times New Roman" w:hAnsi="Times New Roman" w:cs="Times New Roman"/>
          <w:sz w:val="24"/>
          <w:szCs w:val="24"/>
        </w:rPr>
        <w:t xml:space="preserve"> kullanımı hastanın ateşi düştükten ve bakteriyel eradikasyon elde edildiğine dair kanıt sağlandıktan sonra, en az 48-72 saat daha sürdürülmelidir.</w:t>
      </w:r>
    </w:p>
    <w:p w:rsidR="00A30048" w:rsidRPr="002934D0" w:rsidRDefault="00A30048" w:rsidP="0031412B">
      <w:pPr>
        <w:spacing w:after="0"/>
        <w:jc w:val="both"/>
        <w:rPr>
          <w:rFonts w:ascii="Times New Roman" w:hAnsi="Times New Roman" w:cs="Times New Roman"/>
          <w:b/>
          <w:sz w:val="24"/>
          <w:szCs w:val="24"/>
        </w:rPr>
      </w:pPr>
    </w:p>
    <w:p w:rsidR="00BE6FEB" w:rsidRPr="002934D0" w:rsidRDefault="00BE6FEB"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t xml:space="preserve">Özel </w:t>
      </w:r>
      <w:proofErr w:type="gramStart"/>
      <w:r w:rsidR="009D194E" w:rsidRPr="002934D0">
        <w:rPr>
          <w:rFonts w:ascii="Times New Roman" w:hAnsi="Times New Roman" w:cs="Times New Roman"/>
          <w:b/>
          <w:sz w:val="24"/>
          <w:szCs w:val="24"/>
        </w:rPr>
        <w:t>popülâsyonlara</w:t>
      </w:r>
      <w:proofErr w:type="gramEnd"/>
      <w:r w:rsidRPr="002934D0">
        <w:rPr>
          <w:rFonts w:ascii="Times New Roman" w:hAnsi="Times New Roman" w:cs="Times New Roman"/>
          <w:b/>
          <w:sz w:val="24"/>
          <w:szCs w:val="24"/>
        </w:rPr>
        <w:t xml:space="preserve"> ilişkin ek bilgiler:</w:t>
      </w:r>
    </w:p>
    <w:p w:rsidR="00A30048" w:rsidRPr="002934D0" w:rsidRDefault="00A30048" w:rsidP="0031412B">
      <w:pPr>
        <w:pStyle w:val="Default"/>
        <w:spacing w:line="276" w:lineRule="auto"/>
        <w:jc w:val="both"/>
        <w:rPr>
          <w:color w:val="auto"/>
        </w:rPr>
      </w:pPr>
      <w:r w:rsidRPr="002934D0">
        <w:rPr>
          <w:b/>
          <w:bCs/>
          <w:color w:val="auto"/>
        </w:rPr>
        <w:t xml:space="preserve">Böbrek yetmezliği: </w:t>
      </w:r>
    </w:p>
    <w:p w:rsidR="00A30048" w:rsidRPr="002934D0" w:rsidRDefault="00A30048" w:rsidP="0031412B">
      <w:pPr>
        <w:pStyle w:val="Default"/>
        <w:spacing w:line="276" w:lineRule="auto"/>
        <w:jc w:val="both"/>
        <w:rPr>
          <w:color w:val="auto"/>
        </w:rPr>
      </w:pPr>
      <w:r w:rsidRPr="002934D0">
        <w:rPr>
          <w:color w:val="auto"/>
        </w:rPr>
        <w:t xml:space="preserve">Aşağıdaki tabloda belirtilen şekilde kullanılır. </w:t>
      </w:r>
    </w:p>
    <w:p w:rsidR="00A30048" w:rsidRPr="002934D0" w:rsidRDefault="00A30048" w:rsidP="0031412B">
      <w:pPr>
        <w:spacing w:after="0"/>
        <w:jc w:val="both"/>
        <w:rPr>
          <w:rFonts w:ascii="Times New Roman" w:hAnsi="Times New Roman" w:cs="Times New Roman"/>
          <w:sz w:val="24"/>
          <w:szCs w:val="24"/>
        </w:rPr>
      </w:pPr>
    </w:p>
    <w:p w:rsidR="00616E59" w:rsidRPr="002934D0" w:rsidRDefault="00A30048"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Kreatinin klirensi ≤ 50 ml/dakika olan hastalarda dozaj (Enfeksiyonun şiddetine göre)</w:t>
      </w:r>
    </w:p>
    <w:p w:rsidR="009D194E" w:rsidRPr="002934D0" w:rsidRDefault="009D194E" w:rsidP="0031412B">
      <w:pPr>
        <w:spacing w:after="0"/>
        <w:jc w:val="both"/>
        <w:rPr>
          <w:rFonts w:ascii="Times New Roman" w:hAnsi="Times New Roman" w:cs="Times New Roman"/>
          <w:sz w:val="24"/>
          <w:szCs w:val="24"/>
        </w:rPr>
      </w:pPr>
    </w:p>
    <w:tbl>
      <w:tblPr>
        <w:tblStyle w:val="TabloKlavuzu"/>
        <w:tblW w:w="0" w:type="auto"/>
        <w:tblLook w:val="04A0"/>
      </w:tblPr>
      <w:tblGrid>
        <w:gridCol w:w="2303"/>
        <w:gridCol w:w="2303"/>
        <w:gridCol w:w="2303"/>
        <w:gridCol w:w="2303"/>
      </w:tblGrid>
      <w:tr w:rsidR="00A30048" w:rsidRPr="002934D0" w:rsidTr="00825952">
        <w:tc>
          <w:tcPr>
            <w:tcW w:w="2303" w:type="dxa"/>
          </w:tcPr>
          <w:p w:rsidR="00A30048" w:rsidRPr="002934D0" w:rsidRDefault="00A30048" w:rsidP="0031412B">
            <w:pPr>
              <w:spacing w:line="276" w:lineRule="auto"/>
              <w:jc w:val="both"/>
              <w:rPr>
                <w:rFonts w:ascii="Times New Roman" w:hAnsi="Times New Roman" w:cs="Times New Roman"/>
                <w:sz w:val="24"/>
                <w:szCs w:val="24"/>
              </w:rPr>
            </w:pPr>
          </w:p>
        </w:tc>
        <w:tc>
          <w:tcPr>
            <w:tcW w:w="2303" w:type="dxa"/>
          </w:tcPr>
          <w:p w:rsidR="00A30048" w:rsidRPr="002934D0" w:rsidRDefault="00A30048" w:rsidP="0031412B">
            <w:pPr>
              <w:pStyle w:val="Default"/>
              <w:spacing w:line="276" w:lineRule="auto"/>
              <w:jc w:val="both"/>
              <w:rPr>
                <w:color w:val="auto"/>
              </w:rPr>
            </w:pPr>
            <w:r w:rsidRPr="002934D0">
              <w:rPr>
                <w:b/>
                <w:bCs/>
                <w:color w:val="auto"/>
              </w:rPr>
              <w:t xml:space="preserve">250 mg / 24 saat </w:t>
            </w:r>
          </w:p>
        </w:tc>
        <w:tc>
          <w:tcPr>
            <w:tcW w:w="2303" w:type="dxa"/>
          </w:tcPr>
          <w:p w:rsidR="00A30048" w:rsidRPr="002934D0" w:rsidRDefault="00A30048" w:rsidP="0031412B">
            <w:pPr>
              <w:pStyle w:val="Default"/>
              <w:spacing w:line="276" w:lineRule="auto"/>
              <w:jc w:val="both"/>
              <w:rPr>
                <w:color w:val="auto"/>
              </w:rPr>
            </w:pPr>
            <w:r w:rsidRPr="002934D0">
              <w:rPr>
                <w:b/>
                <w:bCs/>
                <w:color w:val="auto"/>
              </w:rPr>
              <w:t xml:space="preserve">500 mg / 24 saat </w:t>
            </w:r>
          </w:p>
        </w:tc>
        <w:tc>
          <w:tcPr>
            <w:tcW w:w="2303" w:type="dxa"/>
          </w:tcPr>
          <w:p w:rsidR="00A30048" w:rsidRPr="002934D0" w:rsidRDefault="00A30048" w:rsidP="0031412B">
            <w:pPr>
              <w:pStyle w:val="Default"/>
              <w:spacing w:line="276" w:lineRule="auto"/>
              <w:jc w:val="both"/>
              <w:rPr>
                <w:color w:val="auto"/>
              </w:rPr>
            </w:pPr>
            <w:r w:rsidRPr="002934D0">
              <w:rPr>
                <w:b/>
                <w:bCs/>
                <w:color w:val="auto"/>
              </w:rPr>
              <w:t xml:space="preserve">500 mg / 12 saat </w:t>
            </w:r>
          </w:p>
        </w:tc>
      </w:tr>
      <w:tr w:rsidR="00A30048" w:rsidRPr="002934D0" w:rsidTr="00825952">
        <w:tc>
          <w:tcPr>
            <w:tcW w:w="2303" w:type="dxa"/>
          </w:tcPr>
          <w:p w:rsidR="00A30048" w:rsidRPr="002934D0" w:rsidRDefault="00A30048" w:rsidP="0031412B">
            <w:pPr>
              <w:pStyle w:val="Default"/>
              <w:spacing w:line="276" w:lineRule="auto"/>
              <w:jc w:val="both"/>
              <w:rPr>
                <w:color w:val="auto"/>
              </w:rPr>
            </w:pPr>
            <w:r w:rsidRPr="002934D0">
              <w:rPr>
                <w:b/>
                <w:bCs/>
                <w:color w:val="auto"/>
              </w:rPr>
              <w:t xml:space="preserve">Kreatinin klirensi </w:t>
            </w:r>
          </w:p>
        </w:tc>
        <w:tc>
          <w:tcPr>
            <w:tcW w:w="2303" w:type="dxa"/>
          </w:tcPr>
          <w:p w:rsidR="00A30048" w:rsidRPr="002934D0" w:rsidRDefault="009D194E" w:rsidP="0031412B">
            <w:pPr>
              <w:pStyle w:val="Default"/>
              <w:spacing w:line="276" w:lineRule="auto"/>
              <w:jc w:val="both"/>
              <w:rPr>
                <w:color w:val="auto"/>
              </w:rPr>
            </w:pPr>
            <w:r w:rsidRPr="002934D0">
              <w:rPr>
                <w:b/>
                <w:bCs/>
                <w:color w:val="auto"/>
              </w:rPr>
              <w:t>İlk</w:t>
            </w:r>
            <w:r w:rsidR="00A30048" w:rsidRPr="002934D0">
              <w:rPr>
                <w:b/>
                <w:bCs/>
                <w:color w:val="auto"/>
              </w:rPr>
              <w:t xml:space="preserve"> doz 250</w:t>
            </w:r>
            <w:r w:rsidRPr="002934D0">
              <w:rPr>
                <w:b/>
                <w:bCs/>
                <w:color w:val="auto"/>
              </w:rPr>
              <w:t xml:space="preserve"> </w:t>
            </w:r>
            <w:r w:rsidR="00A30048" w:rsidRPr="002934D0">
              <w:rPr>
                <w:b/>
                <w:bCs/>
                <w:color w:val="auto"/>
              </w:rPr>
              <w:t xml:space="preserve">mg </w:t>
            </w:r>
          </w:p>
        </w:tc>
        <w:tc>
          <w:tcPr>
            <w:tcW w:w="2303" w:type="dxa"/>
          </w:tcPr>
          <w:p w:rsidR="00A30048" w:rsidRPr="002934D0" w:rsidRDefault="009D194E" w:rsidP="0031412B">
            <w:pPr>
              <w:pStyle w:val="Default"/>
              <w:spacing w:line="276" w:lineRule="auto"/>
              <w:jc w:val="both"/>
              <w:rPr>
                <w:color w:val="auto"/>
              </w:rPr>
            </w:pPr>
            <w:r w:rsidRPr="002934D0">
              <w:rPr>
                <w:b/>
                <w:bCs/>
                <w:color w:val="auto"/>
              </w:rPr>
              <w:t>İlk</w:t>
            </w:r>
            <w:r w:rsidR="00A30048" w:rsidRPr="002934D0">
              <w:rPr>
                <w:b/>
                <w:bCs/>
                <w:color w:val="auto"/>
              </w:rPr>
              <w:t xml:space="preserve"> doz 500 mg </w:t>
            </w:r>
          </w:p>
        </w:tc>
        <w:tc>
          <w:tcPr>
            <w:tcW w:w="2303" w:type="dxa"/>
          </w:tcPr>
          <w:p w:rsidR="00A30048" w:rsidRPr="002934D0" w:rsidRDefault="009D194E" w:rsidP="0031412B">
            <w:pPr>
              <w:pStyle w:val="Default"/>
              <w:spacing w:line="276" w:lineRule="auto"/>
              <w:jc w:val="both"/>
              <w:rPr>
                <w:color w:val="auto"/>
              </w:rPr>
            </w:pPr>
            <w:r w:rsidRPr="002934D0">
              <w:rPr>
                <w:b/>
                <w:bCs/>
                <w:color w:val="auto"/>
              </w:rPr>
              <w:t>İlk</w:t>
            </w:r>
            <w:r w:rsidR="00A30048" w:rsidRPr="002934D0">
              <w:rPr>
                <w:b/>
                <w:bCs/>
                <w:color w:val="auto"/>
              </w:rPr>
              <w:t xml:space="preserve"> doz 500 mg </w:t>
            </w:r>
          </w:p>
        </w:tc>
      </w:tr>
      <w:tr w:rsidR="00A30048" w:rsidRPr="002934D0" w:rsidTr="00825952">
        <w:tc>
          <w:tcPr>
            <w:tcW w:w="2303" w:type="dxa"/>
          </w:tcPr>
          <w:p w:rsidR="00A30048" w:rsidRPr="002934D0" w:rsidRDefault="00A30048" w:rsidP="0031412B">
            <w:pPr>
              <w:pStyle w:val="Default"/>
              <w:spacing w:line="276" w:lineRule="auto"/>
              <w:rPr>
                <w:color w:val="auto"/>
              </w:rPr>
            </w:pPr>
            <w:r w:rsidRPr="002934D0">
              <w:rPr>
                <w:color w:val="auto"/>
              </w:rPr>
              <w:t xml:space="preserve">50-20 ml/dakika </w:t>
            </w:r>
          </w:p>
        </w:tc>
        <w:tc>
          <w:tcPr>
            <w:tcW w:w="2303" w:type="dxa"/>
          </w:tcPr>
          <w:p w:rsidR="00A30048" w:rsidRPr="002934D0" w:rsidRDefault="00A30048" w:rsidP="0031412B">
            <w:pPr>
              <w:pStyle w:val="Default"/>
              <w:spacing w:line="276" w:lineRule="auto"/>
              <w:rPr>
                <w:color w:val="auto"/>
              </w:rPr>
            </w:pPr>
            <w:proofErr w:type="gramStart"/>
            <w:r w:rsidRPr="002934D0">
              <w:rPr>
                <w:i/>
                <w:iCs/>
                <w:color w:val="auto"/>
              </w:rPr>
              <w:t>sonra</w:t>
            </w:r>
            <w:proofErr w:type="gramEnd"/>
            <w:r w:rsidRPr="002934D0">
              <w:rPr>
                <w:i/>
                <w:iCs/>
                <w:color w:val="auto"/>
              </w:rPr>
              <w:t xml:space="preserve">: 125 mg/24 saat </w:t>
            </w:r>
          </w:p>
        </w:tc>
        <w:tc>
          <w:tcPr>
            <w:tcW w:w="2303" w:type="dxa"/>
          </w:tcPr>
          <w:p w:rsidR="00A30048" w:rsidRPr="002934D0" w:rsidRDefault="00A30048" w:rsidP="0031412B">
            <w:pPr>
              <w:pStyle w:val="Default"/>
              <w:spacing w:line="276" w:lineRule="auto"/>
              <w:rPr>
                <w:color w:val="auto"/>
              </w:rPr>
            </w:pPr>
            <w:proofErr w:type="gramStart"/>
            <w:r w:rsidRPr="002934D0">
              <w:rPr>
                <w:i/>
                <w:iCs/>
                <w:color w:val="auto"/>
              </w:rPr>
              <w:t>sonra</w:t>
            </w:r>
            <w:proofErr w:type="gramEnd"/>
            <w:r w:rsidRPr="002934D0">
              <w:rPr>
                <w:i/>
                <w:iCs/>
                <w:color w:val="auto"/>
              </w:rPr>
              <w:t xml:space="preserve">: 250 mg/24 saat </w:t>
            </w:r>
          </w:p>
        </w:tc>
        <w:tc>
          <w:tcPr>
            <w:tcW w:w="2303" w:type="dxa"/>
          </w:tcPr>
          <w:p w:rsidR="00A30048" w:rsidRPr="002934D0" w:rsidRDefault="00A30048" w:rsidP="0031412B">
            <w:pPr>
              <w:pStyle w:val="Default"/>
              <w:spacing w:line="276" w:lineRule="auto"/>
              <w:rPr>
                <w:color w:val="auto"/>
              </w:rPr>
            </w:pPr>
            <w:proofErr w:type="gramStart"/>
            <w:r w:rsidRPr="002934D0">
              <w:rPr>
                <w:i/>
                <w:iCs/>
                <w:color w:val="auto"/>
              </w:rPr>
              <w:t>sonra</w:t>
            </w:r>
            <w:proofErr w:type="gramEnd"/>
            <w:r w:rsidRPr="002934D0">
              <w:rPr>
                <w:i/>
                <w:iCs/>
                <w:color w:val="auto"/>
              </w:rPr>
              <w:t xml:space="preserve">: 250 mg/12 saat </w:t>
            </w:r>
          </w:p>
        </w:tc>
      </w:tr>
      <w:tr w:rsidR="00A30048" w:rsidRPr="002934D0" w:rsidTr="00825952">
        <w:tc>
          <w:tcPr>
            <w:tcW w:w="2303" w:type="dxa"/>
          </w:tcPr>
          <w:p w:rsidR="00A30048" w:rsidRPr="002934D0" w:rsidRDefault="00A30048" w:rsidP="0031412B">
            <w:pPr>
              <w:pStyle w:val="Default"/>
              <w:spacing w:line="276" w:lineRule="auto"/>
              <w:rPr>
                <w:color w:val="auto"/>
              </w:rPr>
            </w:pPr>
            <w:r w:rsidRPr="002934D0">
              <w:rPr>
                <w:color w:val="auto"/>
              </w:rPr>
              <w:t xml:space="preserve">19-10 ml / dakika </w:t>
            </w:r>
          </w:p>
        </w:tc>
        <w:tc>
          <w:tcPr>
            <w:tcW w:w="2303" w:type="dxa"/>
          </w:tcPr>
          <w:p w:rsidR="00A30048" w:rsidRPr="002934D0" w:rsidRDefault="00A30048" w:rsidP="0031412B">
            <w:pPr>
              <w:pStyle w:val="Default"/>
              <w:spacing w:line="276" w:lineRule="auto"/>
              <w:rPr>
                <w:color w:val="auto"/>
              </w:rPr>
            </w:pPr>
            <w:proofErr w:type="gramStart"/>
            <w:r w:rsidRPr="002934D0">
              <w:rPr>
                <w:i/>
                <w:iCs/>
                <w:color w:val="auto"/>
              </w:rPr>
              <w:t>sonra</w:t>
            </w:r>
            <w:proofErr w:type="gramEnd"/>
            <w:r w:rsidRPr="002934D0">
              <w:rPr>
                <w:i/>
                <w:iCs/>
                <w:color w:val="auto"/>
              </w:rPr>
              <w:t xml:space="preserve">: 125 mg/48 saat </w:t>
            </w:r>
          </w:p>
        </w:tc>
        <w:tc>
          <w:tcPr>
            <w:tcW w:w="2303" w:type="dxa"/>
          </w:tcPr>
          <w:p w:rsidR="00A30048" w:rsidRPr="002934D0" w:rsidRDefault="00A30048" w:rsidP="0031412B">
            <w:pPr>
              <w:pStyle w:val="Default"/>
              <w:spacing w:line="276" w:lineRule="auto"/>
              <w:rPr>
                <w:color w:val="auto"/>
              </w:rPr>
            </w:pPr>
            <w:proofErr w:type="gramStart"/>
            <w:r w:rsidRPr="002934D0">
              <w:rPr>
                <w:i/>
                <w:iCs/>
                <w:color w:val="auto"/>
              </w:rPr>
              <w:t>sonra</w:t>
            </w:r>
            <w:proofErr w:type="gramEnd"/>
            <w:r w:rsidRPr="002934D0">
              <w:rPr>
                <w:i/>
                <w:iCs/>
                <w:color w:val="auto"/>
              </w:rPr>
              <w:t xml:space="preserve">: 125 mg/24 saat </w:t>
            </w:r>
          </w:p>
        </w:tc>
        <w:tc>
          <w:tcPr>
            <w:tcW w:w="2303" w:type="dxa"/>
          </w:tcPr>
          <w:p w:rsidR="00A30048" w:rsidRPr="002934D0" w:rsidRDefault="00A30048" w:rsidP="0031412B">
            <w:pPr>
              <w:pStyle w:val="Default"/>
              <w:spacing w:line="276" w:lineRule="auto"/>
              <w:rPr>
                <w:color w:val="auto"/>
              </w:rPr>
            </w:pPr>
            <w:proofErr w:type="gramStart"/>
            <w:r w:rsidRPr="002934D0">
              <w:rPr>
                <w:i/>
                <w:iCs/>
                <w:color w:val="auto"/>
              </w:rPr>
              <w:t>sonra</w:t>
            </w:r>
            <w:proofErr w:type="gramEnd"/>
            <w:r w:rsidRPr="002934D0">
              <w:rPr>
                <w:i/>
                <w:iCs/>
                <w:color w:val="auto"/>
              </w:rPr>
              <w:t xml:space="preserve">: 125 mg/12 saat </w:t>
            </w:r>
          </w:p>
        </w:tc>
      </w:tr>
      <w:tr w:rsidR="00A30048" w:rsidRPr="002934D0" w:rsidTr="00825952">
        <w:tc>
          <w:tcPr>
            <w:tcW w:w="2303" w:type="dxa"/>
          </w:tcPr>
          <w:p w:rsidR="00A30048" w:rsidRPr="002934D0" w:rsidRDefault="00A30048" w:rsidP="0031412B">
            <w:pPr>
              <w:pStyle w:val="Default"/>
              <w:spacing w:line="276" w:lineRule="auto"/>
              <w:rPr>
                <w:color w:val="auto"/>
              </w:rPr>
            </w:pPr>
            <w:r w:rsidRPr="002934D0">
              <w:rPr>
                <w:color w:val="auto"/>
              </w:rPr>
              <w:t xml:space="preserve">&lt;10 ml/dakika (hemodiyaliz ve sürekli ambulatuvar peritoneal diyaliz ile birlikte)* </w:t>
            </w:r>
          </w:p>
        </w:tc>
        <w:tc>
          <w:tcPr>
            <w:tcW w:w="2303" w:type="dxa"/>
          </w:tcPr>
          <w:p w:rsidR="00A30048" w:rsidRPr="002934D0" w:rsidRDefault="00A30048" w:rsidP="0031412B">
            <w:pPr>
              <w:pStyle w:val="Default"/>
              <w:spacing w:line="276" w:lineRule="auto"/>
              <w:rPr>
                <w:color w:val="auto"/>
              </w:rPr>
            </w:pPr>
            <w:proofErr w:type="gramStart"/>
            <w:r w:rsidRPr="002934D0">
              <w:rPr>
                <w:i/>
                <w:iCs/>
                <w:color w:val="auto"/>
              </w:rPr>
              <w:t>sonra</w:t>
            </w:r>
            <w:proofErr w:type="gramEnd"/>
            <w:r w:rsidRPr="002934D0">
              <w:rPr>
                <w:i/>
                <w:iCs/>
                <w:color w:val="auto"/>
              </w:rPr>
              <w:t xml:space="preserve">: 125 mg/48 saat </w:t>
            </w:r>
          </w:p>
        </w:tc>
        <w:tc>
          <w:tcPr>
            <w:tcW w:w="2303" w:type="dxa"/>
          </w:tcPr>
          <w:p w:rsidR="00A30048" w:rsidRPr="002934D0" w:rsidRDefault="00A30048" w:rsidP="0031412B">
            <w:pPr>
              <w:pStyle w:val="Default"/>
              <w:spacing w:line="276" w:lineRule="auto"/>
              <w:rPr>
                <w:color w:val="auto"/>
              </w:rPr>
            </w:pPr>
            <w:proofErr w:type="gramStart"/>
            <w:r w:rsidRPr="002934D0">
              <w:rPr>
                <w:i/>
                <w:iCs/>
                <w:color w:val="auto"/>
              </w:rPr>
              <w:t>sonra</w:t>
            </w:r>
            <w:proofErr w:type="gramEnd"/>
            <w:r w:rsidRPr="002934D0">
              <w:rPr>
                <w:i/>
                <w:iCs/>
                <w:color w:val="auto"/>
              </w:rPr>
              <w:t xml:space="preserve">: 125 mg/24 saat </w:t>
            </w:r>
          </w:p>
        </w:tc>
        <w:tc>
          <w:tcPr>
            <w:tcW w:w="2303" w:type="dxa"/>
          </w:tcPr>
          <w:p w:rsidR="00A30048" w:rsidRPr="002934D0" w:rsidRDefault="00A30048" w:rsidP="0031412B">
            <w:pPr>
              <w:pStyle w:val="Default"/>
              <w:spacing w:line="276" w:lineRule="auto"/>
              <w:rPr>
                <w:color w:val="auto"/>
              </w:rPr>
            </w:pPr>
            <w:proofErr w:type="gramStart"/>
            <w:r w:rsidRPr="002934D0">
              <w:rPr>
                <w:i/>
                <w:iCs/>
                <w:color w:val="auto"/>
              </w:rPr>
              <w:t>sonra</w:t>
            </w:r>
            <w:proofErr w:type="gramEnd"/>
            <w:r w:rsidRPr="002934D0">
              <w:rPr>
                <w:i/>
                <w:iCs/>
                <w:color w:val="auto"/>
              </w:rPr>
              <w:t xml:space="preserve">: 125 mg/24 saat </w:t>
            </w:r>
          </w:p>
        </w:tc>
      </w:tr>
    </w:tbl>
    <w:p w:rsidR="00A30048" w:rsidRPr="002934D0" w:rsidRDefault="00A30048" w:rsidP="0031412B">
      <w:pPr>
        <w:spacing w:after="0"/>
        <w:jc w:val="both"/>
        <w:rPr>
          <w:rFonts w:ascii="Times New Roman" w:hAnsi="Times New Roman" w:cs="Times New Roman"/>
          <w:sz w:val="24"/>
          <w:szCs w:val="24"/>
        </w:rPr>
      </w:pPr>
    </w:p>
    <w:p w:rsidR="00A30048" w:rsidRPr="002934D0" w:rsidRDefault="00A30048" w:rsidP="0031412B">
      <w:pPr>
        <w:spacing w:after="0"/>
        <w:jc w:val="both"/>
        <w:rPr>
          <w:rFonts w:ascii="Times New Roman" w:hAnsi="Times New Roman" w:cs="Times New Roman"/>
          <w:sz w:val="24"/>
          <w:szCs w:val="24"/>
        </w:rPr>
      </w:pPr>
      <w:r w:rsidRPr="002934D0">
        <w:rPr>
          <w:rFonts w:ascii="Times New Roman" w:hAnsi="Times New Roman" w:cs="Times New Roman"/>
          <w:i/>
          <w:iCs/>
          <w:sz w:val="24"/>
          <w:szCs w:val="24"/>
        </w:rPr>
        <w:t>*Hemodiyalizi takiben veya sürekli ambulatuvar peritoneal diyalizde ek bir doza gerek yoktur.</w:t>
      </w:r>
    </w:p>
    <w:p w:rsidR="00A30048" w:rsidRPr="002934D0" w:rsidRDefault="00A30048" w:rsidP="0031412B">
      <w:pPr>
        <w:spacing w:after="0"/>
        <w:jc w:val="both"/>
        <w:rPr>
          <w:rFonts w:ascii="Times New Roman" w:hAnsi="Times New Roman" w:cs="Times New Roman"/>
          <w:b/>
          <w:sz w:val="24"/>
          <w:szCs w:val="24"/>
        </w:rPr>
      </w:pPr>
    </w:p>
    <w:p w:rsidR="00A30048" w:rsidRPr="002934D0" w:rsidRDefault="00A30048" w:rsidP="0031412B">
      <w:pPr>
        <w:pStyle w:val="Default"/>
        <w:spacing w:line="276" w:lineRule="auto"/>
        <w:jc w:val="both"/>
        <w:rPr>
          <w:color w:val="auto"/>
        </w:rPr>
      </w:pPr>
      <w:r w:rsidRPr="002934D0">
        <w:rPr>
          <w:b/>
          <w:bCs/>
          <w:color w:val="auto"/>
        </w:rPr>
        <w:t xml:space="preserve">Karaciğer yetmezliği: </w:t>
      </w:r>
    </w:p>
    <w:p w:rsidR="00A30048" w:rsidRPr="002934D0" w:rsidRDefault="00A30048"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Levofloksasin karaciğerde çok düşük miktarlarda metabolize olur ve esas olarak böbrekler yoluyla vücuttan atılır. Bu nedenle, karaciğer yetmezliğinde dozaj ayarlamasına gerek yoktur.</w:t>
      </w:r>
    </w:p>
    <w:p w:rsidR="00A30048" w:rsidRPr="002934D0" w:rsidRDefault="00A30048" w:rsidP="0031412B">
      <w:pPr>
        <w:spacing w:after="0"/>
        <w:jc w:val="both"/>
        <w:rPr>
          <w:rFonts w:ascii="Times New Roman" w:hAnsi="Times New Roman" w:cs="Times New Roman"/>
          <w:b/>
          <w:sz w:val="24"/>
          <w:szCs w:val="24"/>
        </w:rPr>
      </w:pPr>
    </w:p>
    <w:p w:rsidR="00BE6FEB" w:rsidRPr="002934D0" w:rsidRDefault="00BE6FEB"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t xml:space="preserve">Pediyatrik </w:t>
      </w:r>
      <w:proofErr w:type="gramStart"/>
      <w:r w:rsidRPr="002934D0">
        <w:rPr>
          <w:rFonts w:ascii="Times New Roman" w:hAnsi="Times New Roman" w:cs="Times New Roman"/>
          <w:b/>
          <w:sz w:val="24"/>
          <w:szCs w:val="24"/>
        </w:rPr>
        <w:t>popülasyon</w:t>
      </w:r>
      <w:proofErr w:type="gramEnd"/>
      <w:r w:rsidRPr="002934D0">
        <w:rPr>
          <w:rFonts w:ascii="Times New Roman" w:hAnsi="Times New Roman" w:cs="Times New Roman"/>
          <w:b/>
          <w:sz w:val="24"/>
          <w:szCs w:val="24"/>
        </w:rPr>
        <w:t>:</w:t>
      </w:r>
    </w:p>
    <w:p w:rsidR="00616E59" w:rsidRPr="002934D0" w:rsidRDefault="009D194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FLOXİLEVO</w:t>
      </w:r>
      <w:r w:rsidR="00A30048" w:rsidRPr="002934D0">
        <w:rPr>
          <w:rFonts w:ascii="Times New Roman" w:hAnsi="Times New Roman" w:cs="Times New Roman"/>
          <w:sz w:val="24"/>
          <w:szCs w:val="24"/>
        </w:rPr>
        <w:t xml:space="preserve"> çocuklarda ve büyümesi devam eden ergenlerde kontrendikedir.</w:t>
      </w:r>
      <w:r w:rsidRPr="002934D0">
        <w:rPr>
          <w:rFonts w:ascii="Times New Roman" w:hAnsi="Times New Roman" w:cs="Times New Roman"/>
          <w:sz w:val="24"/>
          <w:szCs w:val="24"/>
        </w:rPr>
        <w:t xml:space="preserve"> </w:t>
      </w:r>
      <w:r w:rsidR="00A30048" w:rsidRPr="002934D0">
        <w:rPr>
          <w:rFonts w:ascii="Times New Roman" w:hAnsi="Times New Roman" w:cs="Times New Roman"/>
          <w:sz w:val="24"/>
          <w:szCs w:val="24"/>
        </w:rPr>
        <w:t xml:space="preserve">(Bkz. bölüm </w:t>
      </w:r>
      <w:proofErr w:type="gramStart"/>
      <w:r w:rsidR="00A30048" w:rsidRPr="002934D0">
        <w:rPr>
          <w:rFonts w:ascii="Times New Roman" w:hAnsi="Times New Roman" w:cs="Times New Roman"/>
          <w:sz w:val="24"/>
          <w:szCs w:val="24"/>
        </w:rPr>
        <w:t>4.3</w:t>
      </w:r>
      <w:proofErr w:type="gramEnd"/>
      <w:r w:rsidR="00A30048" w:rsidRPr="002934D0">
        <w:rPr>
          <w:rFonts w:ascii="Times New Roman" w:hAnsi="Times New Roman" w:cs="Times New Roman"/>
          <w:sz w:val="24"/>
          <w:szCs w:val="24"/>
        </w:rPr>
        <w:t>)</w:t>
      </w:r>
    </w:p>
    <w:p w:rsidR="0079364B" w:rsidRPr="002934D0" w:rsidRDefault="0079364B" w:rsidP="0031412B">
      <w:pPr>
        <w:spacing w:after="0"/>
        <w:jc w:val="both"/>
        <w:rPr>
          <w:rFonts w:ascii="Times New Roman" w:hAnsi="Times New Roman" w:cs="Times New Roman"/>
          <w:sz w:val="24"/>
          <w:szCs w:val="24"/>
        </w:rPr>
      </w:pPr>
    </w:p>
    <w:p w:rsidR="0079364B" w:rsidRPr="002934D0" w:rsidRDefault="0079364B" w:rsidP="0031412B">
      <w:pPr>
        <w:spacing w:after="0"/>
        <w:jc w:val="both"/>
        <w:rPr>
          <w:rFonts w:ascii="Times New Roman" w:hAnsi="Times New Roman" w:cs="Times New Roman"/>
          <w:sz w:val="24"/>
          <w:szCs w:val="24"/>
        </w:rPr>
      </w:pPr>
    </w:p>
    <w:p w:rsidR="00A30048" w:rsidRPr="002934D0" w:rsidRDefault="00A30048" w:rsidP="0031412B">
      <w:pPr>
        <w:spacing w:after="0"/>
        <w:jc w:val="both"/>
        <w:rPr>
          <w:rFonts w:ascii="Times New Roman" w:hAnsi="Times New Roman" w:cs="Times New Roman"/>
          <w:b/>
          <w:sz w:val="24"/>
          <w:szCs w:val="24"/>
        </w:rPr>
      </w:pPr>
    </w:p>
    <w:p w:rsidR="00BE6FEB" w:rsidRPr="002934D0" w:rsidRDefault="00BE6FEB"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lastRenderedPageBreak/>
        <w:t xml:space="preserve">Geriyatrik </w:t>
      </w:r>
      <w:proofErr w:type="gramStart"/>
      <w:r w:rsidRPr="002934D0">
        <w:rPr>
          <w:rFonts w:ascii="Times New Roman" w:hAnsi="Times New Roman" w:cs="Times New Roman"/>
          <w:b/>
          <w:sz w:val="24"/>
          <w:szCs w:val="24"/>
        </w:rPr>
        <w:t>popülasyon</w:t>
      </w:r>
      <w:proofErr w:type="gramEnd"/>
      <w:r w:rsidRPr="002934D0">
        <w:rPr>
          <w:rFonts w:ascii="Times New Roman" w:hAnsi="Times New Roman" w:cs="Times New Roman"/>
          <w:b/>
          <w:sz w:val="24"/>
          <w:szCs w:val="24"/>
        </w:rPr>
        <w:t>:</w:t>
      </w:r>
    </w:p>
    <w:p w:rsidR="00616E59" w:rsidRPr="002934D0" w:rsidRDefault="00A30048"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Yaşlı hastalarda böbrek fonksiyonları yeterli düzeyde ise dozaj ayarlamasına gerek yoktur. (Bkz. Bölüm </w:t>
      </w:r>
      <w:proofErr w:type="gramStart"/>
      <w:r w:rsidRPr="002934D0">
        <w:rPr>
          <w:rFonts w:ascii="Times New Roman" w:hAnsi="Times New Roman" w:cs="Times New Roman"/>
          <w:sz w:val="24"/>
          <w:szCs w:val="24"/>
        </w:rPr>
        <w:t>4.4</w:t>
      </w:r>
      <w:proofErr w:type="gramEnd"/>
      <w:r w:rsidRPr="002934D0">
        <w:rPr>
          <w:rFonts w:ascii="Times New Roman" w:hAnsi="Times New Roman" w:cs="Times New Roman"/>
          <w:sz w:val="24"/>
          <w:szCs w:val="24"/>
        </w:rPr>
        <w:t>, QT aralığının uzaması)</w:t>
      </w:r>
    </w:p>
    <w:p w:rsidR="00A30048" w:rsidRPr="002934D0" w:rsidRDefault="00A30048" w:rsidP="0031412B">
      <w:pPr>
        <w:spacing w:after="0"/>
        <w:jc w:val="both"/>
        <w:rPr>
          <w:rFonts w:ascii="Times New Roman" w:hAnsi="Times New Roman" w:cs="Times New Roman"/>
          <w:sz w:val="24"/>
          <w:szCs w:val="24"/>
        </w:rPr>
      </w:pPr>
    </w:p>
    <w:p w:rsidR="00BE6FEB" w:rsidRPr="002934D0" w:rsidRDefault="00BE6FEB"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Kontrendikasyonlar</w:t>
      </w:r>
    </w:p>
    <w:p w:rsidR="00A30048" w:rsidRPr="002934D0" w:rsidRDefault="00A30048" w:rsidP="0031412B">
      <w:pPr>
        <w:pStyle w:val="Default"/>
        <w:spacing w:line="276" w:lineRule="auto"/>
        <w:jc w:val="both"/>
        <w:rPr>
          <w:color w:val="auto"/>
        </w:rPr>
      </w:pPr>
      <w:r w:rsidRPr="002934D0">
        <w:rPr>
          <w:color w:val="auto"/>
        </w:rPr>
        <w:t xml:space="preserve">Aşağıda belirtilen durumlarda </w:t>
      </w:r>
      <w:r w:rsidR="009D194E" w:rsidRPr="002934D0">
        <w:rPr>
          <w:color w:val="auto"/>
        </w:rPr>
        <w:t>FLOXİLEVO</w:t>
      </w:r>
      <w:r w:rsidRPr="002934D0">
        <w:rPr>
          <w:color w:val="auto"/>
        </w:rPr>
        <w:t xml:space="preserve"> (levofloksasin) kullanılmamalıdır: </w:t>
      </w:r>
    </w:p>
    <w:p w:rsidR="00A30048" w:rsidRPr="002934D0" w:rsidRDefault="00A30048" w:rsidP="0031412B">
      <w:pPr>
        <w:pStyle w:val="Default"/>
        <w:numPr>
          <w:ilvl w:val="0"/>
          <w:numId w:val="3"/>
        </w:numPr>
        <w:spacing w:after="47" w:line="276" w:lineRule="auto"/>
        <w:ind w:left="426"/>
        <w:jc w:val="both"/>
        <w:rPr>
          <w:color w:val="auto"/>
        </w:rPr>
      </w:pPr>
      <w:r w:rsidRPr="002934D0">
        <w:rPr>
          <w:color w:val="auto"/>
        </w:rPr>
        <w:t xml:space="preserve">Levofloksasine veya </w:t>
      </w:r>
      <w:bookmarkStart w:id="0" w:name="OLE_LINK3"/>
      <w:bookmarkStart w:id="1" w:name="OLE_LINK4"/>
      <w:r w:rsidR="009D194E" w:rsidRPr="002934D0">
        <w:rPr>
          <w:color w:val="auto"/>
        </w:rPr>
        <w:t>FLOXİLEVO</w:t>
      </w:r>
      <w:bookmarkEnd w:id="0"/>
      <w:bookmarkEnd w:id="1"/>
      <w:r w:rsidRPr="002934D0">
        <w:rPr>
          <w:color w:val="auto"/>
        </w:rPr>
        <w:t xml:space="preserve"> film tabletin bileşiminde bulunan maddelerden herhangi birine veya florokinolon grubu bir diğer antibakteriyel ilaca karşı aşırı duyarlılığı olduğu bilinen hastalar </w:t>
      </w:r>
    </w:p>
    <w:p w:rsidR="00A30048" w:rsidRPr="002934D0" w:rsidRDefault="00A30048" w:rsidP="0031412B">
      <w:pPr>
        <w:pStyle w:val="Default"/>
        <w:numPr>
          <w:ilvl w:val="0"/>
          <w:numId w:val="3"/>
        </w:numPr>
        <w:spacing w:after="47" w:line="276" w:lineRule="auto"/>
        <w:ind w:left="426"/>
        <w:jc w:val="both"/>
        <w:rPr>
          <w:color w:val="auto"/>
        </w:rPr>
      </w:pPr>
      <w:r w:rsidRPr="002934D0">
        <w:rPr>
          <w:color w:val="auto"/>
        </w:rPr>
        <w:t xml:space="preserve">Epilepsisi olan hastalar </w:t>
      </w:r>
    </w:p>
    <w:p w:rsidR="00A30048" w:rsidRPr="002934D0" w:rsidRDefault="00A30048" w:rsidP="0031412B">
      <w:pPr>
        <w:pStyle w:val="Default"/>
        <w:numPr>
          <w:ilvl w:val="0"/>
          <w:numId w:val="3"/>
        </w:numPr>
        <w:spacing w:after="47" w:line="276" w:lineRule="auto"/>
        <w:ind w:left="426"/>
        <w:jc w:val="both"/>
        <w:rPr>
          <w:color w:val="auto"/>
        </w:rPr>
      </w:pPr>
      <w:r w:rsidRPr="002934D0">
        <w:rPr>
          <w:color w:val="auto"/>
        </w:rPr>
        <w:t xml:space="preserve">Florokinolon grubu bir antibakteriyelin kullanımına bağlı geliştiği bilinen tendon rahatsızlığı öyküsü olan hastalar </w:t>
      </w:r>
    </w:p>
    <w:p w:rsidR="00A30048" w:rsidRPr="002934D0" w:rsidRDefault="00A30048" w:rsidP="0031412B">
      <w:pPr>
        <w:pStyle w:val="Default"/>
        <w:numPr>
          <w:ilvl w:val="0"/>
          <w:numId w:val="3"/>
        </w:numPr>
        <w:spacing w:after="47" w:line="276" w:lineRule="auto"/>
        <w:ind w:left="426"/>
        <w:jc w:val="both"/>
        <w:rPr>
          <w:color w:val="auto"/>
        </w:rPr>
      </w:pPr>
      <w:r w:rsidRPr="002934D0">
        <w:rPr>
          <w:color w:val="auto"/>
        </w:rPr>
        <w:t xml:space="preserve">Çocuklar ve büyümesi devam eden ergenler </w:t>
      </w:r>
    </w:p>
    <w:p w:rsidR="00A30048" w:rsidRPr="002934D0" w:rsidRDefault="00A30048" w:rsidP="0031412B">
      <w:pPr>
        <w:pStyle w:val="Default"/>
        <w:numPr>
          <w:ilvl w:val="0"/>
          <w:numId w:val="3"/>
        </w:numPr>
        <w:spacing w:after="47" w:line="276" w:lineRule="auto"/>
        <w:ind w:left="426"/>
        <w:jc w:val="both"/>
        <w:rPr>
          <w:color w:val="auto"/>
        </w:rPr>
      </w:pPr>
      <w:r w:rsidRPr="002934D0">
        <w:rPr>
          <w:color w:val="auto"/>
        </w:rPr>
        <w:t xml:space="preserve">Hamilelik sırasında </w:t>
      </w:r>
    </w:p>
    <w:p w:rsidR="00A30048" w:rsidRPr="002934D0" w:rsidRDefault="00A30048" w:rsidP="0031412B">
      <w:pPr>
        <w:pStyle w:val="Default"/>
        <w:numPr>
          <w:ilvl w:val="0"/>
          <w:numId w:val="3"/>
        </w:numPr>
        <w:spacing w:line="276" w:lineRule="auto"/>
        <w:ind w:left="426"/>
        <w:jc w:val="both"/>
        <w:rPr>
          <w:color w:val="auto"/>
        </w:rPr>
      </w:pPr>
      <w:r w:rsidRPr="002934D0">
        <w:rPr>
          <w:color w:val="auto"/>
        </w:rPr>
        <w:t xml:space="preserve">Emziren kadınlarda </w:t>
      </w:r>
    </w:p>
    <w:p w:rsidR="00A30048" w:rsidRPr="002934D0" w:rsidRDefault="00A30048" w:rsidP="0031412B">
      <w:pPr>
        <w:pStyle w:val="Default"/>
        <w:spacing w:line="276" w:lineRule="auto"/>
        <w:jc w:val="both"/>
        <w:rPr>
          <w:color w:val="auto"/>
        </w:rPr>
      </w:pPr>
    </w:p>
    <w:p w:rsidR="0054701D" w:rsidRPr="002934D0" w:rsidRDefault="00A30048"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Çocuklarda, büyümesi devam eden ergenlerde, hamilelik sırasında ve emziren kadınlarda kullanımı kontrendikedir çünkü - hayvan çalışmalarına dayanılarak - gelişmekte olan organizmanın gelişen kıkırdak dokusuna zarar verme riski tamamen göz ardı edilemez.</w:t>
      </w:r>
    </w:p>
    <w:p w:rsidR="00BE6FEB" w:rsidRPr="002934D0" w:rsidRDefault="00BE6FEB"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Özel kullanım uyarıları ve önlemleri</w:t>
      </w:r>
    </w:p>
    <w:p w:rsidR="0054701D" w:rsidRPr="002934D0" w:rsidRDefault="0054701D" w:rsidP="0031412B">
      <w:pPr>
        <w:pStyle w:val="Default"/>
        <w:spacing w:line="276" w:lineRule="auto"/>
        <w:jc w:val="both"/>
        <w:rPr>
          <w:color w:val="auto"/>
        </w:rPr>
      </w:pPr>
      <w:r w:rsidRPr="002934D0">
        <w:rPr>
          <w:color w:val="auto"/>
        </w:rPr>
        <w:t xml:space="preserve">Genel uyarılar </w:t>
      </w:r>
    </w:p>
    <w:p w:rsidR="0054701D" w:rsidRPr="002934D0" w:rsidRDefault="0054701D" w:rsidP="0031412B">
      <w:pPr>
        <w:pStyle w:val="Default"/>
        <w:spacing w:line="276" w:lineRule="auto"/>
        <w:jc w:val="both"/>
        <w:rPr>
          <w:color w:val="auto"/>
        </w:rPr>
      </w:pPr>
      <w:r w:rsidRPr="002934D0">
        <w:rPr>
          <w:color w:val="auto"/>
        </w:rPr>
        <w:t xml:space="preserve">Edinilmiş direnç prevalansı, bazı bakteri türleri için ülkeden ülkeye ve zaman içinde değişiklik gösterebilir. Bu nedenle dirençle ilgili yerel verilere gereksinim vardır; özellikle ağır </w:t>
      </w:r>
      <w:proofErr w:type="gramStart"/>
      <w:r w:rsidRPr="002934D0">
        <w:rPr>
          <w:color w:val="auto"/>
        </w:rPr>
        <w:t>enfeksiyonlarda</w:t>
      </w:r>
      <w:proofErr w:type="gramEnd"/>
      <w:r w:rsidRPr="002934D0">
        <w:rPr>
          <w:color w:val="auto"/>
        </w:rPr>
        <w:t xml:space="preserve"> veya tedaviye yanıt alınamadığında, patojen izole edilerek mikrobiyolojik tanı konmalı ve patojenin duyarlılığına dair kanıt aranmalıdır. </w:t>
      </w:r>
    </w:p>
    <w:p w:rsidR="0054701D" w:rsidRPr="002934D0" w:rsidRDefault="0054701D" w:rsidP="0031412B">
      <w:pPr>
        <w:pStyle w:val="Default"/>
        <w:spacing w:line="276" w:lineRule="auto"/>
        <w:jc w:val="both"/>
        <w:rPr>
          <w:color w:val="auto"/>
        </w:rPr>
      </w:pPr>
    </w:p>
    <w:p w:rsidR="0054701D" w:rsidRPr="002934D0" w:rsidRDefault="0054701D" w:rsidP="0031412B">
      <w:pPr>
        <w:pStyle w:val="Default"/>
        <w:spacing w:line="276" w:lineRule="auto"/>
        <w:jc w:val="both"/>
        <w:rPr>
          <w:color w:val="auto"/>
        </w:rPr>
      </w:pPr>
      <w:r w:rsidRPr="002934D0">
        <w:rPr>
          <w:color w:val="auto"/>
        </w:rPr>
        <w:t xml:space="preserve">Çok ciddi pnömokoksik pnömoni olguları için FLOXİLEVO en uygun tedavi olmayabilir. </w:t>
      </w:r>
      <w:r w:rsidR="00F82045" w:rsidRPr="002934D0">
        <w:rPr>
          <w:color w:val="auto"/>
        </w:rPr>
        <w:t xml:space="preserve"> </w:t>
      </w:r>
      <w:r w:rsidRPr="002934D0">
        <w:rPr>
          <w:i/>
          <w:iCs/>
          <w:color w:val="auto"/>
        </w:rPr>
        <w:t>P. aeruginosa</w:t>
      </w:r>
      <w:r w:rsidRPr="002934D0">
        <w:rPr>
          <w:color w:val="auto"/>
        </w:rPr>
        <w:t xml:space="preserve">’nın etken olduğu nozokomiyal </w:t>
      </w:r>
      <w:proofErr w:type="gramStart"/>
      <w:r w:rsidRPr="002934D0">
        <w:rPr>
          <w:color w:val="auto"/>
        </w:rPr>
        <w:t>enfeksiyonlarda</w:t>
      </w:r>
      <w:proofErr w:type="gramEnd"/>
      <w:r w:rsidRPr="002934D0">
        <w:rPr>
          <w:color w:val="auto"/>
        </w:rPr>
        <w:t xml:space="preserve"> kombine tedaviye ihtiyaç olabilir. </w:t>
      </w:r>
    </w:p>
    <w:p w:rsidR="0054701D" w:rsidRPr="002934D0" w:rsidRDefault="0054701D" w:rsidP="0031412B">
      <w:pPr>
        <w:pStyle w:val="Default"/>
        <w:spacing w:line="276" w:lineRule="auto"/>
        <w:jc w:val="both"/>
        <w:rPr>
          <w:color w:val="auto"/>
        </w:rPr>
      </w:pPr>
    </w:p>
    <w:p w:rsidR="0054701D" w:rsidRPr="002934D0" w:rsidRDefault="0054701D" w:rsidP="0031412B">
      <w:pPr>
        <w:pStyle w:val="Default"/>
        <w:spacing w:line="276" w:lineRule="auto"/>
        <w:jc w:val="both"/>
        <w:rPr>
          <w:color w:val="auto"/>
        </w:rPr>
      </w:pPr>
      <w:r w:rsidRPr="002934D0">
        <w:rPr>
          <w:color w:val="auto"/>
        </w:rPr>
        <w:t xml:space="preserve">Metisiline dirençli </w:t>
      </w:r>
      <w:r w:rsidRPr="002934D0">
        <w:rPr>
          <w:i/>
          <w:iCs/>
          <w:color w:val="auto"/>
        </w:rPr>
        <w:t>S. aureus</w:t>
      </w:r>
      <w:r w:rsidRPr="002934D0">
        <w:rPr>
          <w:color w:val="auto"/>
        </w:rPr>
        <w:t xml:space="preserve">: </w:t>
      </w:r>
    </w:p>
    <w:p w:rsidR="0054701D" w:rsidRPr="002934D0" w:rsidRDefault="0054701D" w:rsidP="0031412B">
      <w:pPr>
        <w:pStyle w:val="Default"/>
        <w:spacing w:line="276" w:lineRule="auto"/>
        <w:jc w:val="both"/>
        <w:rPr>
          <w:color w:val="auto"/>
        </w:rPr>
      </w:pPr>
      <w:r w:rsidRPr="002934D0">
        <w:rPr>
          <w:color w:val="auto"/>
        </w:rPr>
        <w:t xml:space="preserve">Metisiline dirençli </w:t>
      </w:r>
      <w:r w:rsidRPr="002934D0">
        <w:rPr>
          <w:i/>
          <w:iCs/>
          <w:color w:val="auto"/>
        </w:rPr>
        <w:t>S. aureus</w:t>
      </w:r>
      <w:r w:rsidRPr="002934D0">
        <w:rPr>
          <w:color w:val="auto"/>
        </w:rPr>
        <w:t xml:space="preserve">’un, levofloksasin de </w:t>
      </w:r>
      <w:proofErr w:type="gramStart"/>
      <w:r w:rsidRPr="002934D0">
        <w:rPr>
          <w:color w:val="auto"/>
        </w:rPr>
        <w:t>dahil</w:t>
      </w:r>
      <w:proofErr w:type="gramEnd"/>
      <w:r w:rsidRPr="002934D0">
        <w:rPr>
          <w:color w:val="auto"/>
        </w:rPr>
        <w:t xml:space="preserve"> olmak üzere florokinolonlara ko rezistans gösterme olasılığı çok yüksektir. Bu nedenle, organizmanın levofloksasine duyarlılığı laboratuar testleriyle doğrulanmadığı sürece, bilinen veya şüphe edilen MRSA </w:t>
      </w:r>
      <w:proofErr w:type="gramStart"/>
      <w:r w:rsidRPr="002934D0">
        <w:rPr>
          <w:color w:val="auto"/>
        </w:rPr>
        <w:t>enfeksiyonlarının</w:t>
      </w:r>
      <w:proofErr w:type="gramEnd"/>
      <w:r w:rsidRPr="002934D0">
        <w:rPr>
          <w:color w:val="auto"/>
        </w:rPr>
        <w:t xml:space="preserve"> tedavisinde levofloksasin kullanılması önerilmez. </w:t>
      </w:r>
    </w:p>
    <w:p w:rsidR="0054701D" w:rsidRPr="002934D0" w:rsidRDefault="0054701D"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Konvülsiyona eğilimli hastalar </w:t>
      </w:r>
    </w:p>
    <w:p w:rsidR="0054701D" w:rsidRPr="002934D0" w:rsidRDefault="0054701D" w:rsidP="0031412B">
      <w:pPr>
        <w:pStyle w:val="Default"/>
        <w:spacing w:line="276" w:lineRule="auto"/>
        <w:jc w:val="both"/>
        <w:rPr>
          <w:color w:val="auto"/>
        </w:rPr>
      </w:pPr>
      <w:r w:rsidRPr="002934D0">
        <w:rPr>
          <w:color w:val="auto"/>
        </w:rPr>
        <w:t xml:space="preserve">Diğer kinolonlarla olduğu gibi FLOXİLEVO, epilepsi öyküsü olan hastalarda kontrendikedir. </w:t>
      </w:r>
    </w:p>
    <w:p w:rsidR="0054701D" w:rsidRPr="002934D0" w:rsidRDefault="0054701D" w:rsidP="0031412B">
      <w:pPr>
        <w:pStyle w:val="Default"/>
        <w:spacing w:line="276" w:lineRule="auto"/>
        <w:jc w:val="both"/>
        <w:rPr>
          <w:color w:val="auto"/>
        </w:rPr>
      </w:pPr>
    </w:p>
    <w:p w:rsidR="0054701D" w:rsidRPr="002934D0" w:rsidRDefault="0054701D" w:rsidP="0031412B">
      <w:pPr>
        <w:pStyle w:val="Default"/>
        <w:spacing w:line="276" w:lineRule="auto"/>
        <w:jc w:val="both"/>
        <w:rPr>
          <w:color w:val="auto"/>
        </w:rPr>
      </w:pPr>
      <w:r w:rsidRPr="002934D0">
        <w:rPr>
          <w:color w:val="auto"/>
        </w:rPr>
        <w:t xml:space="preserve">Önceden merkezi sinir sistemi lezyonu bulunan, konvülsiyona eğilimli olan hastalarda, fenbufen ve benzeri non-steroidal antiinflamatuvar ilaçlar alan ya da teofilin gibi serebral konvülsiyon eşiğini düşüren ilaçlar almakta olan hastalarda çok dikkatli kullanılmalıdır (Bkz. bölüm </w:t>
      </w:r>
      <w:proofErr w:type="gramStart"/>
      <w:r w:rsidRPr="002934D0">
        <w:rPr>
          <w:color w:val="auto"/>
        </w:rPr>
        <w:t>4.5</w:t>
      </w:r>
      <w:proofErr w:type="gramEnd"/>
      <w:r w:rsidRPr="002934D0">
        <w:rPr>
          <w:color w:val="auto"/>
        </w:rPr>
        <w:t xml:space="preserve">). Konvülsiyon tipi nöbet oluşması durumunda levofloksasin tedavisinin kesilmesi gerekir. </w:t>
      </w:r>
    </w:p>
    <w:p w:rsidR="0054701D" w:rsidRPr="002934D0" w:rsidRDefault="0054701D"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Clostridium difficile ile ilişkili hastalık (Psödomembranöz kolit) </w:t>
      </w:r>
    </w:p>
    <w:p w:rsidR="0054701D" w:rsidRPr="002934D0" w:rsidRDefault="0054701D" w:rsidP="0031412B">
      <w:pPr>
        <w:pStyle w:val="Default"/>
        <w:spacing w:line="276" w:lineRule="auto"/>
        <w:jc w:val="both"/>
        <w:rPr>
          <w:color w:val="auto"/>
        </w:rPr>
      </w:pPr>
      <w:r w:rsidRPr="002934D0">
        <w:rPr>
          <w:color w:val="auto"/>
        </w:rPr>
        <w:t xml:space="preserve">FLOXİLEVO tedavisi sırasında veya sonrasında şiddetli, ısrarlı ve/veya kanlı diyare görülürse, bu </w:t>
      </w:r>
      <w:r w:rsidRPr="002934D0">
        <w:rPr>
          <w:i/>
          <w:iCs/>
          <w:color w:val="auto"/>
        </w:rPr>
        <w:t xml:space="preserve">Clostridium difficile </w:t>
      </w:r>
      <w:r w:rsidRPr="002934D0">
        <w:rPr>
          <w:color w:val="auto"/>
        </w:rPr>
        <w:t xml:space="preserve">ile ilişkili psödomembranöz kolitin belirtisi olabilir. Bu psödomembranöz enterokolitin en ciddi formudur. Eğer psödomembranöz enterokolitten şüpheleniliyorsa, FLOXİLEVO tedavisi hemen sonlandırılmalı ve gecikmeden uygun destekleyici ve/veya </w:t>
      </w:r>
      <w:proofErr w:type="gramStart"/>
      <w:r w:rsidRPr="002934D0">
        <w:rPr>
          <w:color w:val="auto"/>
        </w:rPr>
        <w:t>spesifik</w:t>
      </w:r>
      <w:proofErr w:type="gramEnd"/>
      <w:r w:rsidRPr="002934D0">
        <w:rPr>
          <w:color w:val="auto"/>
        </w:rPr>
        <w:t xml:space="preserve"> tedaviye (örn. oral vankomisin, teikoplanin veya metranidazol) başlanmalıdır. Bu klinik durumda, barsak hareketlerini engelleyen ilaçlar kontrendikedir. </w:t>
      </w:r>
    </w:p>
    <w:p w:rsidR="0054701D" w:rsidRPr="002934D0" w:rsidRDefault="0054701D" w:rsidP="0031412B">
      <w:pPr>
        <w:pStyle w:val="Default"/>
        <w:spacing w:line="276" w:lineRule="auto"/>
        <w:jc w:val="both"/>
        <w:rPr>
          <w:color w:val="auto"/>
        </w:rPr>
      </w:pPr>
    </w:p>
    <w:p w:rsidR="0054701D" w:rsidRPr="002934D0" w:rsidRDefault="0054701D" w:rsidP="0031412B">
      <w:pPr>
        <w:pStyle w:val="Default"/>
        <w:spacing w:line="276" w:lineRule="auto"/>
        <w:jc w:val="both"/>
        <w:rPr>
          <w:color w:val="auto"/>
        </w:rPr>
      </w:pPr>
      <w:r w:rsidRPr="002934D0">
        <w:rPr>
          <w:i/>
          <w:iCs/>
          <w:color w:val="auto"/>
        </w:rPr>
        <w:t xml:space="preserve">Tendinit ve tendon rüptürü: </w:t>
      </w:r>
    </w:p>
    <w:p w:rsidR="0054701D" w:rsidRPr="002934D0" w:rsidRDefault="0054701D" w:rsidP="0031412B">
      <w:pPr>
        <w:pStyle w:val="Default"/>
        <w:spacing w:line="276" w:lineRule="auto"/>
        <w:jc w:val="both"/>
        <w:rPr>
          <w:color w:val="auto"/>
        </w:rPr>
      </w:pPr>
      <w:r w:rsidRPr="002934D0">
        <w:rPr>
          <w:color w:val="auto"/>
        </w:rPr>
        <w:t xml:space="preserve">Nadiren tendinit meydana gelebilir. En çok aşil tendonunu etkiler ve tendon rüptürüne yol açabilir. Bu istenmeyen etki tedaviye başladıktan 48 saat içinde meydana gelebilir ve bilateral olabilir. Yaşlılarda ve kortikosteroid kullanan hastalarda tendon rüptürü riski artar. Bu hastalara FLOXİLEVO reçete edildiyse, yakından takip edilmeleri gerekir. Tendinit belirtileri yaşayan bütün hastaların doktorlarına haber vermesi gerekir. Eğer tendinitten şüpheleniliyorsa FLOXİLEVO tedavisi derhal kesilmeli ve etkilenmiş tendonun hareketsiz tutulması (immobilizasyon) şeklinde uygun tedavi başlatılmalıdır. </w:t>
      </w:r>
    </w:p>
    <w:p w:rsidR="0054701D" w:rsidRPr="002934D0" w:rsidRDefault="0054701D"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Aşırı duyarlılık reaksiyonları: </w:t>
      </w:r>
    </w:p>
    <w:p w:rsidR="0054701D" w:rsidRPr="002934D0" w:rsidRDefault="0054701D" w:rsidP="0031412B">
      <w:pPr>
        <w:pStyle w:val="Default"/>
        <w:spacing w:line="276" w:lineRule="auto"/>
        <w:jc w:val="both"/>
        <w:rPr>
          <w:color w:val="auto"/>
        </w:rPr>
      </w:pPr>
      <w:r w:rsidRPr="002934D0">
        <w:rPr>
          <w:color w:val="auto"/>
        </w:rPr>
        <w:t xml:space="preserve">Levofloksasin, ilk dozunu takiben nadiren, öldürücü potansiyeli olan ciddi aşırı duyarlılık reaksiyonlarına (örn. anjiyoödem, anafilaktik şok) neden olabilir (Bkz. bölüm </w:t>
      </w:r>
      <w:proofErr w:type="gramStart"/>
      <w:r w:rsidRPr="002934D0">
        <w:rPr>
          <w:color w:val="auto"/>
        </w:rPr>
        <w:t>4.8</w:t>
      </w:r>
      <w:proofErr w:type="gramEnd"/>
      <w:r w:rsidRPr="002934D0">
        <w:rPr>
          <w:color w:val="auto"/>
        </w:rPr>
        <w:t xml:space="preserve">). Hastalar derhal tedaviyi kesmeli ve acil önlem alınması için doktora başvurmalıdır. </w:t>
      </w:r>
    </w:p>
    <w:p w:rsidR="0054701D" w:rsidRPr="002934D0" w:rsidRDefault="0054701D" w:rsidP="0031412B">
      <w:pPr>
        <w:spacing w:after="0"/>
        <w:jc w:val="both"/>
        <w:rPr>
          <w:rFonts w:ascii="Times New Roman" w:hAnsi="Times New Roman" w:cs="Times New Roman"/>
          <w:i/>
          <w:iCs/>
          <w:sz w:val="24"/>
          <w:szCs w:val="24"/>
        </w:rPr>
      </w:pPr>
    </w:p>
    <w:p w:rsidR="00616E59" w:rsidRPr="002934D0" w:rsidRDefault="0054701D" w:rsidP="0031412B">
      <w:pPr>
        <w:spacing w:after="0"/>
        <w:jc w:val="both"/>
        <w:rPr>
          <w:rFonts w:ascii="Times New Roman" w:hAnsi="Times New Roman" w:cs="Times New Roman"/>
          <w:i/>
          <w:iCs/>
          <w:sz w:val="24"/>
          <w:szCs w:val="24"/>
        </w:rPr>
      </w:pPr>
      <w:r w:rsidRPr="002934D0">
        <w:rPr>
          <w:rFonts w:ascii="Times New Roman" w:hAnsi="Times New Roman" w:cs="Times New Roman"/>
          <w:i/>
          <w:iCs/>
          <w:sz w:val="24"/>
          <w:szCs w:val="24"/>
        </w:rPr>
        <w:t>Ağır bülloz reaksiyonlar:</w:t>
      </w:r>
    </w:p>
    <w:p w:rsidR="0054701D" w:rsidRPr="002934D0" w:rsidRDefault="0054701D" w:rsidP="0031412B">
      <w:pPr>
        <w:pStyle w:val="Default"/>
        <w:spacing w:line="276" w:lineRule="auto"/>
        <w:jc w:val="both"/>
        <w:rPr>
          <w:color w:val="auto"/>
        </w:rPr>
      </w:pPr>
      <w:r w:rsidRPr="002934D0">
        <w:rPr>
          <w:color w:val="auto"/>
        </w:rPr>
        <w:t xml:space="preserve">Levofloksasin ile Stevens Johnson sendromu veya toksik epidermal nekroliz gibi ağır büllöz deri reaksiyonları bildirilmiştir (bkz. Bölüm </w:t>
      </w:r>
      <w:proofErr w:type="gramStart"/>
      <w:r w:rsidRPr="002934D0">
        <w:rPr>
          <w:color w:val="auto"/>
        </w:rPr>
        <w:t>4.8</w:t>
      </w:r>
      <w:proofErr w:type="gramEnd"/>
      <w:r w:rsidRPr="002934D0">
        <w:rPr>
          <w:color w:val="auto"/>
        </w:rPr>
        <w:t xml:space="preserve">). Herhangi bir deri ve/veya mukoza bozukluğu ortaya çıkması halinde, hastaların tedaviye devam etmeden önce hemen doktorlarına başvurmaları gerekir. </w:t>
      </w:r>
    </w:p>
    <w:p w:rsidR="0054701D" w:rsidRPr="002934D0" w:rsidRDefault="0054701D"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Hepato-biliyer bozukluklar: </w:t>
      </w:r>
    </w:p>
    <w:p w:rsidR="0054701D" w:rsidRPr="002934D0" w:rsidRDefault="0054701D" w:rsidP="0031412B">
      <w:pPr>
        <w:pStyle w:val="Default"/>
        <w:spacing w:line="276" w:lineRule="auto"/>
        <w:jc w:val="both"/>
        <w:rPr>
          <w:color w:val="auto"/>
        </w:rPr>
      </w:pPr>
      <w:r w:rsidRPr="002934D0">
        <w:rPr>
          <w:color w:val="auto"/>
        </w:rPr>
        <w:t xml:space="preserve">Altta yatan sepsis gibi çok ciddi hastalıkları bulunan kişilerde, levofloksasin uygulanması ile karaciğer nekrozundan yaşamı tehdit eden karaciğer yetmezliğine kadar gidebilen olgular rapor edilmiştir (Bkz. bölüm </w:t>
      </w:r>
      <w:proofErr w:type="gramStart"/>
      <w:r w:rsidRPr="002934D0">
        <w:rPr>
          <w:color w:val="auto"/>
        </w:rPr>
        <w:t>4.8</w:t>
      </w:r>
      <w:proofErr w:type="gramEnd"/>
      <w:r w:rsidRPr="002934D0">
        <w:rPr>
          <w:color w:val="auto"/>
        </w:rPr>
        <w:t xml:space="preserve">). İştahsızlık, sarılık, koyu renkte idrar, kaşıntı veya karında hassasiyet gibi karaciğer hastalığıyla ilgili </w:t>
      </w:r>
      <w:proofErr w:type="gramStart"/>
      <w:r w:rsidRPr="002934D0">
        <w:rPr>
          <w:color w:val="auto"/>
        </w:rPr>
        <w:t>semptom</w:t>
      </w:r>
      <w:proofErr w:type="gramEnd"/>
      <w:r w:rsidRPr="002934D0">
        <w:rPr>
          <w:color w:val="auto"/>
        </w:rPr>
        <w:t xml:space="preserve"> ve işaretler gelişirse, hastanın tedaviyi durdurması ve derhal doktoruyla temas kurması gerekir. </w:t>
      </w:r>
    </w:p>
    <w:p w:rsidR="0054701D" w:rsidRPr="002934D0" w:rsidRDefault="0054701D"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QT aralığında uzama: </w:t>
      </w:r>
    </w:p>
    <w:p w:rsidR="0054701D" w:rsidRPr="002934D0" w:rsidRDefault="0054701D" w:rsidP="0031412B">
      <w:pPr>
        <w:pStyle w:val="Default"/>
        <w:spacing w:line="276" w:lineRule="auto"/>
        <w:jc w:val="both"/>
        <w:rPr>
          <w:color w:val="auto"/>
        </w:rPr>
      </w:pPr>
      <w:r w:rsidRPr="002934D0">
        <w:rPr>
          <w:color w:val="auto"/>
        </w:rPr>
        <w:t xml:space="preserve">Çok seyrek olarak levofloksasin de içeren florokinolon verilen hastalarda QT aralığında uzama bildirilmiştir. </w:t>
      </w:r>
    </w:p>
    <w:p w:rsidR="0054701D" w:rsidRPr="002934D0" w:rsidRDefault="0054701D" w:rsidP="0031412B">
      <w:pPr>
        <w:pStyle w:val="Default"/>
        <w:spacing w:line="276" w:lineRule="auto"/>
        <w:jc w:val="both"/>
        <w:rPr>
          <w:color w:val="auto"/>
        </w:rPr>
      </w:pPr>
      <w:r w:rsidRPr="002934D0">
        <w:rPr>
          <w:color w:val="auto"/>
        </w:rPr>
        <w:t xml:space="preserve">Levofloksasin de dâhil olmak üzere florokinolon kullanan hastalarda, aşağıdaki gibi QT aralığının uzaması açısından risk faktörleri varsa dikkatli olunması gerekir: </w:t>
      </w:r>
    </w:p>
    <w:p w:rsidR="0054701D" w:rsidRPr="002934D0" w:rsidRDefault="0054701D" w:rsidP="0031412B">
      <w:pPr>
        <w:pStyle w:val="Default"/>
        <w:numPr>
          <w:ilvl w:val="0"/>
          <w:numId w:val="4"/>
        </w:numPr>
        <w:spacing w:after="27" w:line="276" w:lineRule="auto"/>
        <w:ind w:left="426"/>
        <w:jc w:val="both"/>
        <w:rPr>
          <w:color w:val="auto"/>
        </w:rPr>
      </w:pPr>
      <w:r w:rsidRPr="002934D0">
        <w:rPr>
          <w:color w:val="auto"/>
        </w:rPr>
        <w:t xml:space="preserve">Düzeltilmemiş elektrolit dengesizliği (örn. hipokalemi, hipomagnezemi) </w:t>
      </w:r>
    </w:p>
    <w:p w:rsidR="0054701D" w:rsidRPr="002934D0" w:rsidRDefault="0054701D" w:rsidP="0031412B">
      <w:pPr>
        <w:pStyle w:val="Default"/>
        <w:numPr>
          <w:ilvl w:val="0"/>
          <w:numId w:val="4"/>
        </w:numPr>
        <w:spacing w:after="27" w:line="276" w:lineRule="auto"/>
        <w:ind w:left="426"/>
        <w:jc w:val="both"/>
        <w:rPr>
          <w:color w:val="auto"/>
        </w:rPr>
      </w:pPr>
      <w:r w:rsidRPr="002934D0">
        <w:rPr>
          <w:color w:val="auto"/>
        </w:rPr>
        <w:t xml:space="preserve">Konjenital uzun QT </w:t>
      </w:r>
      <w:proofErr w:type="gramStart"/>
      <w:r w:rsidRPr="002934D0">
        <w:rPr>
          <w:color w:val="auto"/>
        </w:rPr>
        <w:t>sendromu</w:t>
      </w:r>
      <w:proofErr w:type="gramEnd"/>
      <w:r w:rsidRPr="002934D0">
        <w:rPr>
          <w:color w:val="auto"/>
        </w:rPr>
        <w:t xml:space="preserve"> </w:t>
      </w:r>
    </w:p>
    <w:p w:rsidR="0054701D" w:rsidRPr="002934D0" w:rsidRDefault="0054701D" w:rsidP="0031412B">
      <w:pPr>
        <w:pStyle w:val="Default"/>
        <w:numPr>
          <w:ilvl w:val="0"/>
          <w:numId w:val="4"/>
        </w:numPr>
        <w:spacing w:after="27" w:line="276" w:lineRule="auto"/>
        <w:ind w:left="426"/>
        <w:jc w:val="both"/>
        <w:rPr>
          <w:color w:val="auto"/>
        </w:rPr>
      </w:pPr>
      <w:r w:rsidRPr="002934D0">
        <w:rPr>
          <w:color w:val="auto"/>
        </w:rPr>
        <w:t xml:space="preserve">Kardiyak hastalık (örn. kalp yetmezliği, miyokard enfarktüsü, bradikardi) </w:t>
      </w:r>
    </w:p>
    <w:p w:rsidR="0054701D" w:rsidRPr="002934D0" w:rsidRDefault="0054701D" w:rsidP="0031412B">
      <w:pPr>
        <w:pStyle w:val="Default"/>
        <w:numPr>
          <w:ilvl w:val="0"/>
          <w:numId w:val="4"/>
        </w:numPr>
        <w:spacing w:line="276" w:lineRule="auto"/>
        <w:ind w:left="426"/>
        <w:jc w:val="both"/>
        <w:rPr>
          <w:color w:val="auto"/>
        </w:rPr>
      </w:pPr>
      <w:r w:rsidRPr="002934D0">
        <w:rPr>
          <w:color w:val="auto"/>
        </w:rPr>
        <w:lastRenderedPageBreak/>
        <w:t xml:space="preserve">QT aralığını uzattığı bilinen ilaçların birlikte kullanılması (örn. Sınıf IA ve III antiaritmikler, trisiklik antidepresanlar, makrolidler) </w:t>
      </w:r>
    </w:p>
    <w:p w:rsidR="0054701D" w:rsidRPr="002934D0" w:rsidRDefault="0054701D" w:rsidP="0031412B">
      <w:pPr>
        <w:pStyle w:val="Default"/>
        <w:spacing w:line="276" w:lineRule="auto"/>
        <w:jc w:val="both"/>
        <w:rPr>
          <w:color w:val="auto"/>
        </w:rPr>
      </w:pPr>
    </w:p>
    <w:p w:rsidR="0054701D" w:rsidRPr="002934D0" w:rsidRDefault="0054701D" w:rsidP="0031412B">
      <w:pPr>
        <w:pStyle w:val="Default"/>
        <w:spacing w:line="276" w:lineRule="auto"/>
        <w:jc w:val="both"/>
        <w:rPr>
          <w:color w:val="auto"/>
        </w:rPr>
      </w:pPr>
      <w:r w:rsidRPr="002934D0">
        <w:rPr>
          <w:color w:val="auto"/>
        </w:rPr>
        <w:t xml:space="preserve">İleri yaştaki hastalar ve kadınlar QTc aralığını uzatan ilaçlara karşı daha duyarlı olabilirler. Bu nedenle, bu hasta grubunda levofloksasin de </w:t>
      </w:r>
      <w:proofErr w:type="gramStart"/>
      <w:r w:rsidRPr="002934D0">
        <w:rPr>
          <w:color w:val="auto"/>
        </w:rPr>
        <w:t>dahil</w:t>
      </w:r>
      <w:proofErr w:type="gramEnd"/>
      <w:r w:rsidRPr="002934D0">
        <w:rPr>
          <w:color w:val="auto"/>
        </w:rPr>
        <w:t xml:space="preserve"> olmak üzere florokinolonlar kullanıldığında dikkatli olunmalıdır. </w:t>
      </w:r>
    </w:p>
    <w:p w:rsidR="003D7F33" w:rsidRPr="002934D0" w:rsidRDefault="003D7F33"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Hipoglisemi </w:t>
      </w:r>
    </w:p>
    <w:p w:rsidR="0054701D" w:rsidRPr="002934D0" w:rsidRDefault="0054701D" w:rsidP="0031412B">
      <w:pPr>
        <w:pStyle w:val="Default"/>
        <w:spacing w:line="276" w:lineRule="auto"/>
        <w:jc w:val="both"/>
        <w:rPr>
          <w:color w:val="auto"/>
        </w:rPr>
      </w:pPr>
      <w:r w:rsidRPr="002934D0">
        <w:rPr>
          <w:color w:val="auto"/>
        </w:rPr>
        <w:t xml:space="preserve">Diğer tüm kinolonlarla olduğu gibi, genellikle oral hipoglisemik ajan (örn. glibenklamid) veya insülin ile tedavi gören diyabetli hastalarda hipoglisemi görüldüğü bildirilmiştir. Hipoglisemik koma olguları bildirilmiştir. Diyabetli hastalarda kan glukozunun dikkatle takip edilmesi tavsiye edilmektedir (Bkz. bölüm </w:t>
      </w:r>
      <w:proofErr w:type="gramStart"/>
      <w:r w:rsidRPr="002934D0">
        <w:rPr>
          <w:color w:val="auto"/>
        </w:rPr>
        <w:t>4.8</w:t>
      </w:r>
      <w:proofErr w:type="gramEnd"/>
      <w:r w:rsidRPr="002934D0">
        <w:rPr>
          <w:color w:val="auto"/>
        </w:rPr>
        <w:t xml:space="preserve">) </w:t>
      </w:r>
    </w:p>
    <w:p w:rsidR="00534C3A" w:rsidRPr="002934D0" w:rsidRDefault="00534C3A"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Miyastenia Gravis’in şiddetlenmesi: </w:t>
      </w:r>
    </w:p>
    <w:p w:rsidR="0054701D" w:rsidRPr="002934D0" w:rsidRDefault="0054701D" w:rsidP="0031412B">
      <w:pPr>
        <w:pStyle w:val="Default"/>
        <w:spacing w:line="276" w:lineRule="auto"/>
        <w:jc w:val="both"/>
        <w:rPr>
          <w:color w:val="auto"/>
        </w:rPr>
      </w:pPr>
      <w:r w:rsidRPr="002934D0">
        <w:rPr>
          <w:color w:val="auto"/>
        </w:rPr>
        <w:t xml:space="preserve">Levofloksasinin de dahil olduğu florokinolonlar nöromüsküler </w:t>
      </w:r>
      <w:proofErr w:type="gramStart"/>
      <w:r w:rsidRPr="002934D0">
        <w:rPr>
          <w:color w:val="auto"/>
        </w:rPr>
        <w:t>blokaj</w:t>
      </w:r>
      <w:proofErr w:type="gramEnd"/>
      <w:r w:rsidRPr="002934D0">
        <w:rPr>
          <w:color w:val="auto"/>
        </w:rPr>
        <w:t xml:space="preserve"> aktivitesine sahiptirler ve myastenia gravisli hastalarda kas güçsüzlüğünü şiddetlendirebilirler. Florokinolon kullanan myastenia gravisli hastalarda, ventilatör desteği gerektiren akciğer yetmezliği ve ölümü de kapsayan pazarlama sonrası ciddi advers olaylar, florokinolonla ilişkilendirilmiştir. Öyküsünde myastenia gravis bulunan hastalar florokinol</w:t>
      </w:r>
      <w:r w:rsidR="00F82045" w:rsidRPr="002934D0">
        <w:rPr>
          <w:color w:val="auto"/>
        </w:rPr>
        <w:t>on kullanımından kaçınılmalıdır.</w:t>
      </w:r>
    </w:p>
    <w:p w:rsidR="00534C3A" w:rsidRPr="002934D0" w:rsidRDefault="00534C3A"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Böbrek yetmezliği olan hastalar</w:t>
      </w:r>
      <w:r w:rsidRPr="002934D0">
        <w:rPr>
          <w:color w:val="auto"/>
        </w:rPr>
        <w:t xml:space="preserve">: </w:t>
      </w:r>
    </w:p>
    <w:p w:rsidR="0054701D" w:rsidRPr="002934D0" w:rsidRDefault="0054701D" w:rsidP="0031412B">
      <w:pPr>
        <w:pStyle w:val="Default"/>
        <w:spacing w:line="276" w:lineRule="auto"/>
        <w:jc w:val="both"/>
        <w:rPr>
          <w:color w:val="auto"/>
        </w:rPr>
      </w:pPr>
      <w:r w:rsidRPr="002934D0">
        <w:rPr>
          <w:color w:val="auto"/>
        </w:rPr>
        <w:t xml:space="preserve">Levofloksasin temel olarak böbrekler yoluyla atıldığından, böbrek yetmezliği olan hastalarda </w:t>
      </w:r>
      <w:r w:rsidR="00534C3A" w:rsidRPr="002934D0">
        <w:rPr>
          <w:color w:val="auto"/>
        </w:rPr>
        <w:t>FLOXİLEVO</w:t>
      </w:r>
      <w:r w:rsidRPr="002934D0">
        <w:rPr>
          <w:color w:val="auto"/>
        </w:rPr>
        <w:t xml:space="preserve"> dozunun ayarlanması gerekir (Bkz. bölüm </w:t>
      </w:r>
      <w:proofErr w:type="gramStart"/>
      <w:r w:rsidRPr="002934D0">
        <w:rPr>
          <w:color w:val="auto"/>
        </w:rPr>
        <w:t>4.2</w:t>
      </w:r>
      <w:proofErr w:type="gramEnd"/>
      <w:r w:rsidRPr="002934D0">
        <w:rPr>
          <w:color w:val="auto"/>
        </w:rPr>
        <w:t xml:space="preserve">) </w:t>
      </w:r>
    </w:p>
    <w:p w:rsidR="00534C3A" w:rsidRPr="002934D0" w:rsidRDefault="00534C3A"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Işığa karşı duyarlılık gelişmesi (Fotosensitizasyon): </w:t>
      </w:r>
    </w:p>
    <w:p w:rsidR="0054701D" w:rsidRPr="002934D0" w:rsidRDefault="0054701D" w:rsidP="0031412B">
      <w:pPr>
        <w:pStyle w:val="Default"/>
        <w:spacing w:line="276" w:lineRule="auto"/>
        <w:jc w:val="both"/>
        <w:rPr>
          <w:color w:val="auto"/>
        </w:rPr>
      </w:pPr>
      <w:r w:rsidRPr="002934D0">
        <w:rPr>
          <w:color w:val="auto"/>
        </w:rPr>
        <w:t xml:space="preserve">Levofloksasine bağlı fotosensitizasyon çok nadiren görülmekle birlikte, hastaların tedavi süresince kuvvetli güneş ışığına çıkmamaları veya </w:t>
      </w:r>
      <w:proofErr w:type="gramStart"/>
      <w:r w:rsidRPr="002934D0">
        <w:rPr>
          <w:color w:val="auto"/>
        </w:rPr>
        <w:t>solaryum</w:t>
      </w:r>
      <w:proofErr w:type="gramEnd"/>
      <w:r w:rsidRPr="002934D0">
        <w:rPr>
          <w:color w:val="auto"/>
        </w:rPr>
        <w:t xml:space="preserve"> gibi yapay ultraviyole ışınlarına maruz kalmamaları önerilir. </w:t>
      </w:r>
    </w:p>
    <w:p w:rsidR="00534C3A" w:rsidRPr="002934D0" w:rsidRDefault="00534C3A"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Süperenfeksiyon: </w:t>
      </w:r>
    </w:p>
    <w:p w:rsidR="0054701D" w:rsidRPr="002934D0" w:rsidRDefault="0054701D" w:rsidP="0031412B">
      <w:pPr>
        <w:pStyle w:val="Default"/>
        <w:spacing w:line="276" w:lineRule="auto"/>
        <w:jc w:val="both"/>
        <w:rPr>
          <w:color w:val="auto"/>
        </w:rPr>
      </w:pPr>
      <w:r w:rsidRPr="002934D0">
        <w:rPr>
          <w:color w:val="auto"/>
        </w:rPr>
        <w:t xml:space="preserve">Diğer antibiyotiklerde olduğu gibi, levofloksasinin uzun süreli kullanımı, dirençli olmayan organizmaların aşırı çoğalmasına sebep olabilir. Hastanın durumunun tekrarlayan değerlendirmeleri önemlidir. Eğer süperenfeksiyon oluşursa uygun tedavi yöntemleri uygulanmalıdır. </w:t>
      </w:r>
    </w:p>
    <w:p w:rsidR="00534C3A" w:rsidRPr="002934D0" w:rsidRDefault="00534C3A"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Glikoz-6-fosfat dehidrogenaz eksikliği olan hastalar: </w:t>
      </w:r>
    </w:p>
    <w:p w:rsidR="0054701D" w:rsidRPr="002934D0" w:rsidRDefault="0054701D" w:rsidP="0031412B">
      <w:pPr>
        <w:pStyle w:val="Default"/>
        <w:spacing w:line="276" w:lineRule="auto"/>
        <w:jc w:val="both"/>
        <w:rPr>
          <w:color w:val="auto"/>
        </w:rPr>
      </w:pPr>
      <w:r w:rsidRPr="002934D0">
        <w:rPr>
          <w:color w:val="auto"/>
        </w:rPr>
        <w:t xml:space="preserve">Glikoz-6-fosfat dehidrogenaz aktivitesinde latent veya aktüel defekt bulunan hastalar kinolon grubu antibakteriyellerle tedavi edildiğinde hemolitik reaksiyonlara eğilimi artabilir, bu yüzden levofloksasin bu tip hastalarda dikkatli kullanılmalıdır. </w:t>
      </w:r>
    </w:p>
    <w:p w:rsidR="00534C3A" w:rsidRPr="002934D0" w:rsidRDefault="00534C3A"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Periferik nöropati </w:t>
      </w:r>
    </w:p>
    <w:p w:rsidR="0054701D" w:rsidRPr="002934D0" w:rsidRDefault="0054701D" w:rsidP="0031412B">
      <w:pPr>
        <w:pStyle w:val="Default"/>
        <w:spacing w:line="276" w:lineRule="auto"/>
        <w:jc w:val="both"/>
        <w:rPr>
          <w:color w:val="auto"/>
        </w:rPr>
      </w:pPr>
      <w:r w:rsidRPr="002934D0">
        <w:rPr>
          <w:color w:val="auto"/>
        </w:rPr>
        <w:t xml:space="preserve">Levofloksasin de </w:t>
      </w:r>
      <w:proofErr w:type="gramStart"/>
      <w:r w:rsidRPr="002934D0">
        <w:rPr>
          <w:color w:val="auto"/>
        </w:rPr>
        <w:t>dahil</w:t>
      </w:r>
      <w:proofErr w:type="gramEnd"/>
      <w:r w:rsidRPr="002934D0">
        <w:rPr>
          <w:color w:val="auto"/>
        </w:rPr>
        <w:t xml:space="preserve"> olmak üzere florokinolon kullanan hastalarda, başlangıcı hızlı olabilen duyusal veya duyusal-motor periferik nöropati bildirilmiştir. Geri dönüşümsüz bozuklukların </w:t>
      </w:r>
      <w:r w:rsidRPr="002934D0">
        <w:rPr>
          <w:color w:val="auto"/>
        </w:rPr>
        <w:lastRenderedPageBreak/>
        <w:t xml:space="preserve">gelişmesini önlemek için, eğer hasta nöropati </w:t>
      </w:r>
      <w:proofErr w:type="gramStart"/>
      <w:r w:rsidRPr="002934D0">
        <w:rPr>
          <w:color w:val="auto"/>
        </w:rPr>
        <w:t>semptomları</w:t>
      </w:r>
      <w:proofErr w:type="gramEnd"/>
      <w:r w:rsidRPr="002934D0">
        <w:rPr>
          <w:color w:val="auto"/>
        </w:rPr>
        <w:t xml:space="preserve"> yaşarsa, levofloksasin kullanımına son verilmesi gerekir. </w:t>
      </w:r>
    </w:p>
    <w:p w:rsidR="00534C3A" w:rsidRPr="002934D0" w:rsidRDefault="00534C3A"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Şarbon inhalasyonu </w:t>
      </w:r>
    </w:p>
    <w:p w:rsidR="0054701D" w:rsidRPr="002934D0" w:rsidRDefault="0054701D" w:rsidP="0031412B">
      <w:pPr>
        <w:pStyle w:val="Default"/>
        <w:spacing w:line="276" w:lineRule="auto"/>
        <w:jc w:val="both"/>
        <w:rPr>
          <w:color w:val="auto"/>
        </w:rPr>
      </w:pPr>
      <w:r w:rsidRPr="002934D0">
        <w:rPr>
          <w:color w:val="auto"/>
        </w:rPr>
        <w:t xml:space="preserve">İnsanlarda kullanım, </w:t>
      </w:r>
      <w:r w:rsidRPr="002934D0">
        <w:rPr>
          <w:i/>
          <w:iCs/>
          <w:color w:val="auto"/>
        </w:rPr>
        <w:t xml:space="preserve">in vitro Bacillus anthrasis </w:t>
      </w:r>
      <w:r w:rsidRPr="002934D0">
        <w:rPr>
          <w:color w:val="auto"/>
        </w:rPr>
        <w:t xml:space="preserve">duyarlılığı verilerini, hayvanlardaki deneysel verileri ve insanlardaki sınırlı verileri temel almaktadır. Tedaviyi uygulayan doktor, şarbon tedavisi ile ilgili ulusal ve/veya uluslararası uzlaşı belgelerine başvurmalıdır. </w:t>
      </w:r>
    </w:p>
    <w:p w:rsidR="00534C3A" w:rsidRPr="002934D0" w:rsidRDefault="00534C3A"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K vitamini </w:t>
      </w:r>
      <w:proofErr w:type="gramStart"/>
      <w:r w:rsidRPr="002934D0">
        <w:rPr>
          <w:i/>
          <w:iCs/>
          <w:color w:val="auto"/>
        </w:rPr>
        <w:t>antagonistleriyle</w:t>
      </w:r>
      <w:proofErr w:type="gramEnd"/>
      <w:r w:rsidRPr="002934D0">
        <w:rPr>
          <w:i/>
          <w:iCs/>
          <w:color w:val="auto"/>
        </w:rPr>
        <w:t xml:space="preserve"> tedavi edilen hastalar </w:t>
      </w:r>
    </w:p>
    <w:p w:rsidR="0054701D" w:rsidRPr="002934D0" w:rsidRDefault="0054701D" w:rsidP="0031412B">
      <w:pPr>
        <w:pStyle w:val="Default"/>
        <w:spacing w:line="276" w:lineRule="auto"/>
        <w:jc w:val="both"/>
        <w:rPr>
          <w:color w:val="auto"/>
        </w:rPr>
      </w:pPr>
      <w:r w:rsidRPr="002934D0">
        <w:rPr>
          <w:color w:val="auto"/>
        </w:rPr>
        <w:t xml:space="preserve">K vitamini antagonisti (örn. varfarin) ile tedavi edilen hastalarda birlikte </w:t>
      </w:r>
      <w:r w:rsidR="00534C3A" w:rsidRPr="002934D0">
        <w:rPr>
          <w:color w:val="auto"/>
        </w:rPr>
        <w:t>FLOXİLEVO</w:t>
      </w:r>
      <w:r w:rsidRPr="002934D0">
        <w:rPr>
          <w:color w:val="auto"/>
        </w:rPr>
        <w:t xml:space="preserve"> kullanılması durumunda koagülasyon testlerinde (PT/INR) yükselme ve/veya kanamada artış ihtimaline karşı, bu ilaçların birlikte kullanılması durumunda, koagülasyon testleriyle takip yapılması gereklidir (Bkz. bölüm </w:t>
      </w:r>
      <w:proofErr w:type="gramStart"/>
      <w:r w:rsidRPr="002934D0">
        <w:rPr>
          <w:color w:val="auto"/>
        </w:rPr>
        <w:t>4.5</w:t>
      </w:r>
      <w:proofErr w:type="gramEnd"/>
      <w:r w:rsidRPr="002934D0">
        <w:rPr>
          <w:color w:val="auto"/>
        </w:rPr>
        <w:t xml:space="preserve">). </w:t>
      </w:r>
    </w:p>
    <w:p w:rsidR="00534C3A" w:rsidRPr="002934D0" w:rsidRDefault="00534C3A"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Psikotik reaksiyonlar </w:t>
      </w:r>
    </w:p>
    <w:p w:rsidR="0054701D" w:rsidRPr="002934D0" w:rsidRDefault="0054701D" w:rsidP="0031412B">
      <w:pPr>
        <w:pStyle w:val="Default"/>
        <w:spacing w:line="276" w:lineRule="auto"/>
        <w:jc w:val="both"/>
        <w:rPr>
          <w:color w:val="auto"/>
        </w:rPr>
      </w:pPr>
      <w:r w:rsidRPr="002934D0">
        <w:rPr>
          <w:color w:val="auto"/>
        </w:rPr>
        <w:t xml:space="preserve">Levofloksasin </w:t>
      </w:r>
      <w:proofErr w:type="gramStart"/>
      <w:r w:rsidRPr="002934D0">
        <w:rPr>
          <w:color w:val="auto"/>
        </w:rPr>
        <w:t>dahil</w:t>
      </w:r>
      <w:proofErr w:type="gramEnd"/>
      <w:r w:rsidRPr="002934D0">
        <w:rPr>
          <w:color w:val="auto"/>
        </w:rPr>
        <w:t xml:space="preserve">, kinolon alan hastalarda psikotik reaksiyonlar geliştiği bildirilmiştir. Çok nadir olgularda, bazen tek bir levofloksasin dozunu takiben intihar düşüncelerine kapılma ve kendini tehlikeye atan davranışlar görülmüştür (Bkz. bölüm </w:t>
      </w:r>
      <w:proofErr w:type="gramStart"/>
      <w:r w:rsidRPr="002934D0">
        <w:rPr>
          <w:color w:val="auto"/>
        </w:rPr>
        <w:t>4.8</w:t>
      </w:r>
      <w:proofErr w:type="gramEnd"/>
      <w:r w:rsidRPr="002934D0">
        <w:rPr>
          <w:color w:val="auto"/>
        </w:rPr>
        <w:t xml:space="preserve">). Hastada bu gibi reaksiyonlar gelişirse, levofloksasin kesilmeli ve uygun önlemler alınmalıdır. Psikotik bozukluğu olan veya psikiyatrik hastalık öyküsü bulunan hastalarda levofloksasin kullanılması gerekiyorsa, dikkatli olunmalıdır. </w:t>
      </w:r>
    </w:p>
    <w:p w:rsidR="00534C3A" w:rsidRPr="002934D0" w:rsidRDefault="00534C3A" w:rsidP="0031412B">
      <w:pPr>
        <w:pStyle w:val="Default"/>
        <w:spacing w:line="276" w:lineRule="auto"/>
        <w:jc w:val="both"/>
        <w:rPr>
          <w:i/>
          <w:iCs/>
          <w:color w:val="auto"/>
        </w:rPr>
      </w:pPr>
    </w:p>
    <w:p w:rsidR="0054701D" w:rsidRPr="002934D0" w:rsidRDefault="0054701D" w:rsidP="0031412B">
      <w:pPr>
        <w:pStyle w:val="Default"/>
        <w:spacing w:line="276" w:lineRule="auto"/>
        <w:jc w:val="both"/>
        <w:rPr>
          <w:color w:val="auto"/>
        </w:rPr>
      </w:pPr>
      <w:r w:rsidRPr="002934D0">
        <w:rPr>
          <w:i/>
          <w:iCs/>
          <w:color w:val="auto"/>
        </w:rPr>
        <w:t xml:space="preserve">Opiatlar </w:t>
      </w:r>
    </w:p>
    <w:p w:rsidR="0054701D" w:rsidRPr="002934D0" w:rsidRDefault="0054701D" w:rsidP="0031412B">
      <w:pPr>
        <w:pStyle w:val="Default"/>
        <w:spacing w:line="276" w:lineRule="auto"/>
        <w:jc w:val="both"/>
        <w:rPr>
          <w:color w:val="auto"/>
        </w:rPr>
      </w:pPr>
      <w:r w:rsidRPr="002934D0">
        <w:rPr>
          <w:color w:val="auto"/>
        </w:rPr>
        <w:t xml:space="preserve">Levofloksasin ile tedavi edilen hastalarda, idrarda opiatların tespitinde yalancı pozitif sonuçlar alınabilir. Bu nedenle, pozitif opiat neticesinin daha </w:t>
      </w:r>
      <w:proofErr w:type="gramStart"/>
      <w:r w:rsidRPr="002934D0">
        <w:rPr>
          <w:color w:val="auto"/>
        </w:rPr>
        <w:t>spesifik</w:t>
      </w:r>
      <w:proofErr w:type="gramEnd"/>
      <w:r w:rsidRPr="002934D0">
        <w:rPr>
          <w:color w:val="auto"/>
        </w:rPr>
        <w:t xml:space="preserve"> bir metotla doğrulanması gerekebilir. </w:t>
      </w:r>
    </w:p>
    <w:p w:rsidR="00534C3A" w:rsidRPr="002934D0" w:rsidRDefault="00534C3A" w:rsidP="0031412B">
      <w:pPr>
        <w:spacing w:after="0"/>
        <w:jc w:val="both"/>
        <w:rPr>
          <w:rFonts w:ascii="Times New Roman" w:hAnsi="Times New Roman" w:cs="Times New Roman"/>
          <w:sz w:val="24"/>
          <w:szCs w:val="24"/>
          <w:highlight w:val="yellow"/>
        </w:rPr>
      </w:pPr>
    </w:p>
    <w:p w:rsidR="0054701D" w:rsidRPr="002934D0" w:rsidRDefault="00F82045"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Bu tıbbi ürün her doz</w:t>
      </w:r>
      <w:r w:rsidR="0054701D" w:rsidRPr="002934D0">
        <w:rPr>
          <w:rFonts w:ascii="Times New Roman" w:hAnsi="Times New Roman" w:cs="Times New Roman"/>
          <w:sz w:val="24"/>
          <w:szCs w:val="24"/>
        </w:rPr>
        <w:t>unda 1 mmol (23 mg)’</w:t>
      </w:r>
      <w:proofErr w:type="gramStart"/>
      <w:r w:rsidR="0054701D" w:rsidRPr="002934D0">
        <w:rPr>
          <w:rFonts w:ascii="Times New Roman" w:hAnsi="Times New Roman" w:cs="Times New Roman"/>
          <w:sz w:val="24"/>
          <w:szCs w:val="24"/>
        </w:rPr>
        <w:t>dan</w:t>
      </w:r>
      <w:proofErr w:type="gramEnd"/>
      <w:r w:rsidR="0054701D" w:rsidRPr="002934D0">
        <w:rPr>
          <w:rFonts w:ascii="Times New Roman" w:hAnsi="Times New Roman" w:cs="Times New Roman"/>
          <w:sz w:val="24"/>
          <w:szCs w:val="24"/>
        </w:rPr>
        <w:t xml:space="preserve"> daha az sodyum ihtiva eder; bu dozda sodyuma bağlı herhangi bir yan etki beklenmez.</w:t>
      </w:r>
    </w:p>
    <w:p w:rsidR="008B60B7" w:rsidRPr="002934D0" w:rsidRDefault="008B60B7" w:rsidP="0031412B">
      <w:pPr>
        <w:spacing w:after="0"/>
        <w:jc w:val="both"/>
        <w:rPr>
          <w:rFonts w:ascii="Times New Roman" w:hAnsi="Times New Roman" w:cs="Times New Roman"/>
          <w:sz w:val="24"/>
          <w:szCs w:val="24"/>
        </w:rPr>
      </w:pPr>
    </w:p>
    <w:p w:rsidR="00BE6FEB" w:rsidRPr="002934D0" w:rsidRDefault="00BE6FEB"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Diğer tıbbi ürünler ile etkileşimler ve diğer etkileşim şekilleri</w:t>
      </w:r>
    </w:p>
    <w:p w:rsidR="008B60B7" w:rsidRPr="002934D0" w:rsidRDefault="008B60B7" w:rsidP="0031412B">
      <w:pPr>
        <w:pStyle w:val="Default"/>
        <w:spacing w:line="276" w:lineRule="auto"/>
        <w:jc w:val="both"/>
        <w:rPr>
          <w:color w:val="auto"/>
          <w:u w:val="single"/>
        </w:rPr>
      </w:pPr>
      <w:r w:rsidRPr="002934D0">
        <w:rPr>
          <w:color w:val="auto"/>
          <w:u w:val="single"/>
        </w:rPr>
        <w:t xml:space="preserve">Magnezyum veya alüminyum veya demir veya çinko içeren ilaçlar </w:t>
      </w:r>
    </w:p>
    <w:p w:rsidR="008B60B7" w:rsidRPr="002934D0" w:rsidRDefault="008B60B7" w:rsidP="0031412B">
      <w:pPr>
        <w:pStyle w:val="Default"/>
        <w:spacing w:line="276" w:lineRule="auto"/>
        <w:jc w:val="both"/>
        <w:rPr>
          <w:color w:val="auto"/>
        </w:rPr>
      </w:pPr>
      <w:r w:rsidRPr="002934D0">
        <w:rPr>
          <w:color w:val="auto"/>
        </w:rPr>
        <w:t xml:space="preserve">İki veya üç değerlikli katyon içeren demir tuzları gibi preparatlar ya da magnezyum ve alüminyum içeren ilaçlar (örn. antasidler) ile birlikte uygulandığında, levofloksasinin emilimi belirgin şekilde azaldığından, bu ilaçlar FLOXİLEVO uygulanmasından en az iki saat önce veya 2 saat sonra uygulanmalıdır (Bkz. bölüm </w:t>
      </w:r>
      <w:proofErr w:type="gramStart"/>
      <w:r w:rsidRPr="002934D0">
        <w:rPr>
          <w:color w:val="auto"/>
        </w:rPr>
        <w:t>4.2</w:t>
      </w:r>
      <w:proofErr w:type="gramEnd"/>
      <w:r w:rsidRPr="002934D0">
        <w:rPr>
          <w:color w:val="auto"/>
        </w:rPr>
        <w:t xml:space="preserve">). </w:t>
      </w:r>
    </w:p>
    <w:p w:rsidR="008B60B7" w:rsidRPr="002934D0" w:rsidRDefault="008B60B7" w:rsidP="0031412B">
      <w:pPr>
        <w:pStyle w:val="Default"/>
        <w:spacing w:line="276" w:lineRule="auto"/>
        <w:jc w:val="both"/>
        <w:rPr>
          <w:color w:val="auto"/>
        </w:rPr>
      </w:pPr>
      <w:r w:rsidRPr="002934D0">
        <w:rPr>
          <w:color w:val="auto"/>
        </w:rPr>
        <w:t xml:space="preserve">Kalsiyum tuzları levofloksasinin oral emilimi üzerinde minimal etki gösterir. </w:t>
      </w:r>
    </w:p>
    <w:p w:rsidR="008B60B7" w:rsidRPr="002934D0" w:rsidRDefault="008B60B7" w:rsidP="0031412B">
      <w:pPr>
        <w:spacing w:after="0"/>
        <w:jc w:val="both"/>
        <w:rPr>
          <w:rFonts w:ascii="Times New Roman" w:hAnsi="Times New Roman" w:cs="Times New Roman"/>
          <w:sz w:val="24"/>
          <w:szCs w:val="24"/>
          <w:u w:val="single"/>
        </w:rPr>
      </w:pPr>
    </w:p>
    <w:p w:rsidR="00616E59" w:rsidRPr="002934D0" w:rsidRDefault="008B60B7" w:rsidP="0031412B">
      <w:pPr>
        <w:spacing w:after="0"/>
        <w:jc w:val="both"/>
        <w:rPr>
          <w:rFonts w:ascii="Times New Roman" w:hAnsi="Times New Roman" w:cs="Times New Roman"/>
          <w:sz w:val="24"/>
          <w:szCs w:val="24"/>
          <w:u w:val="single"/>
        </w:rPr>
      </w:pPr>
      <w:proofErr w:type="spellStart"/>
      <w:r w:rsidRPr="002934D0">
        <w:rPr>
          <w:rFonts w:ascii="Times New Roman" w:hAnsi="Times New Roman" w:cs="Times New Roman"/>
          <w:sz w:val="24"/>
          <w:szCs w:val="24"/>
          <w:u w:val="single"/>
        </w:rPr>
        <w:t>Sukralfat</w:t>
      </w:r>
      <w:proofErr w:type="spellEnd"/>
    </w:p>
    <w:p w:rsidR="008B60B7" w:rsidRPr="002934D0" w:rsidRDefault="008B60B7" w:rsidP="0031412B">
      <w:pPr>
        <w:pStyle w:val="Default"/>
        <w:spacing w:line="276" w:lineRule="auto"/>
        <w:jc w:val="both"/>
        <w:rPr>
          <w:color w:val="auto"/>
        </w:rPr>
      </w:pPr>
      <w:r w:rsidRPr="002934D0">
        <w:rPr>
          <w:color w:val="auto"/>
        </w:rPr>
        <w:t xml:space="preserve">Sukralfat ile birlikte uygulandığında </w:t>
      </w:r>
      <w:r w:rsidR="00153D18" w:rsidRPr="002934D0">
        <w:rPr>
          <w:color w:val="auto"/>
        </w:rPr>
        <w:t>FLOXİLEVO</w:t>
      </w:r>
      <w:r w:rsidRPr="002934D0">
        <w:rPr>
          <w:color w:val="auto"/>
        </w:rPr>
        <w:t>’</w:t>
      </w:r>
      <w:r w:rsidR="00153D18" w:rsidRPr="002934D0">
        <w:rPr>
          <w:color w:val="auto"/>
        </w:rPr>
        <w:t>nu</w:t>
      </w:r>
      <w:r w:rsidRPr="002934D0">
        <w:rPr>
          <w:color w:val="auto"/>
        </w:rPr>
        <w:t xml:space="preserve">n biyoyararlanımı önemli oranda azalmaktadır. İki ilaç birlikte uygulanacaksa, sukralfat’ın </w:t>
      </w:r>
      <w:r w:rsidR="00153D18" w:rsidRPr="002934D0">
        <w:rPr>
          <w:color w:val="auto"/>
        </w:rPr>
        <w:t>FLOXİLEVO</w:t>
      </w:r>
      <w:r w:rsidRPr="002934D0">
        <w:rPr>
          <w:color w:val="auto"/>
        </w:rPr>
        <w:t xml:space="preserve"> alınmasından en az iki saat sonra uygulanması önerilir (Bkz. bölüm </w:t>
      </w:r>
      <w:proofErr w:type="gramStart"/>
      <w:r w:rsidRPr="002934D0">
        <w:rPr>
          <w:color w:val="auto"/>
        </w:rPr>
        <w:t>4.2</w:t>
      </w:r>
      <w:proofErr w:type="gramEnd"/>
      <w:r w:rsidRPr="002934D0">
        <w:rPr>
          <w:color w:val="auto"/>
        </w:rPr>
        <w:t xml:space="preserve">). </w:t>
      </w:r>
    </w:p>
    <w:p w:rsidR="00153D18" w:rsidRPr="002934D0" w:rsidRDefault="00153D18" w:rsidP="0031412B">
      <w:pPr>
        <w:pStyle w:val="Default"/>
        <w:spacing w:line="276" w:lineRule="auto"/>
        <w:jc w:val="both"/>
        <w:rPr>
          <w:color w:val="auto"/>
        </w:rPr>
      </w:pPr>
    </w:p>
    <w:p w:rsidR="0031412B" w:rsidRPr="002934D0" w:rsidRDefault="0031412B" w:rsidP="0031412B">
      <w:pPr>
        <w:pStyle w:val="Default"/>
        <w:spacing w:line="276" w:lineRule="auto"/>
        <w:jc w:val="both"/>
        <w:rPr>
          <w:color w:val="auto"/>
        </w:rPr>
      </w:pPr>
    </w:p>
    <w:p w:rsidR="008B60B7" w:rsidRPr="002934D0" w:rsidRDefault="008B60B7" w:rsidP="0031412B">
      <w:pPr>
        <w:pStyle w:val="Default"/>
        <w:spacing w:line="276" w:lineRule="auto"/>
        <w:jc w:val="both"/>
        <w:rPr>
          <w:color w:val="auto"/>
          <w:u w:val="single"/>
        </w:rPr>
      </w:pPr>
      <w:r w:rsidRPr="002934D0">
        <w:rPr>
          <w:color w:val="auto"/>
          <w:u w:val="single"/>
        </w:rPr>
        <w:lastRenderedPageBreak/>
        <w:t xml:space="preserve">Teofilin, fenbufen veya benzeri diğer nonsteroidal antienflamatuvar ilaçlar </w:t>
      </w:r>
    </w:p>
    <w:p w:rsidR="008B60B7" w:rsidRPr="002934D0" w:rsidRDefault="008B60B7" w:rsidP="0031412B">
      <w:pPr>
        <w:pStyle w:val="Default"/>
        <w:spacing w:line="276" w:lineRule="auto"/>
        <w:jc w:val="both"/>
        <w:rPr>
          <w:color w:val="auto"/>
        </w:rPr>
      </w:pPr>
      <w:r w:rsidRPr="002934D0">
        <w:rPr>
          <w:color w:val="auto"/>
        </w:rPr>
        <w:t xml:space="preserve">Yapılan bir klinik çalışmada levofloksasin ile teofilin arasında herhangi bir farmakokinetik etkileşim bulunmamıştır. Fakat konvülsiyon eşiğini düşüren ilaçlar, teofilin veya nonsteroidal antienflamatuvar ilaçların, kinolon grubu bir antibiyotik ile birlikte kullanılması halinde, beyin konvülsiyon eşiğinde belirgin bir düşme görülebilir. </w:t>
      </w:r>
    </w:p>
    <w:p w:rsidR="008B60B7" w:rsidRPr="002934D0" w:rsidRDefault="008B60B7" w:rsidP="0031412B">
      <w:pPr>
        <w:pStyle w:val="Default"/>
        <w:spacing w:line="276" w:lineRule="auto"/>
        <w:jc w:val="both"/>
        <w:rPr>
          <w:color w:val="auto"/>
        </w:rPr>
      </w:pPr>
      <w:r w:rsidRPr="002934D0">
        <w:rPr>
          <w:color w:val="auto"/>
        </w:rPr>
        <w:t xml:space="preserve">Tek başına uygulanmasına kıyasla, fenbufen ile birlikte kullanıldığında levofloksasinin </w:t>
      </w:r>
      <w:proofErr w:type="gramStart"/>
      <w:r w:rsidRPr="002934D0">
        <w:rPr>
          <w:color w:val="auto"/>
        </w:rPr>
        <w:t>konsantrasyonu</w:t>
      </w:r>
      <w:proofErr w:type="gramEnd"/>
      <w:r w:rsidRPr="002934D0">
        <w:rPr>
          <w:color w:val="auto"/>
        </w:rPr>
        <w:t xml:space="preserve"> yaklaşık olarak % 13 oranında daha yüksek bulunmaktadır. </w:t>
      </w:r>
    </w:p>
    <w:p w:rsidR="00153D18" w:rsidRPr="002934D0" w:rsidRDefault="00153D18" w:rsidP="0031412B">
      <w:pPr>
        <w:pStyle w:val="Default"/>
        <w:spacing w:line="276" w:lineRule="auto"/>
        <w:jc w:val="both"/>
        <w:rPr>
          <w:color w:val="auto"/>
        </w:rPr>
      </w:pPr>
    </w:p>
    <w:p w:rsidR="008B60B7" w:rsidRPr="002934D0" w:rsidRDefault="008B60B7" w:rsidP="0031412B">
      <w:pPr>
        <w:pStyle w:val="Default"/>
        <w:spacing w:line="276" w:lineRule="auto"/>
        <w:jc w:val="both"/>
        <w:rPr>
          <w:color w:val="auto"/>
          <w:u w:val="single"/>
        </w:rPr>
      </w:pPr>
      <w:r w:rsidRPr="002934D0">
        <w:rPr>
          <w:color w:val="auto"/>
          <w:u w:val="single"/>
        </w:rPr>
        <w:t xml:space="preserve">Probenesid ve simetidin </w:t>
      </w:r>
    </w:p>
    <w:p w:rsidR="008B60B7" w:rsidRPr="002934D0" w:rsidRDefault="008B60B7" w:rsidP="0031412B">
      <w:pPr>
        <w:pStyle w:val="Default"/>
        <w:spacing w:line="276" w:lineRule="auto"/>
        <w:jc w:val="both"/>
        <w:rPr>
          <w:color w:val="auto"/>
        </w:rPr>
      </w:pPr>
      <w:r w:rsidRPr="002934D0">
        <w:rPr>
          <w:color w:val="auto"/>
        </w:rPr>
        <w:t xml:space="preserve">Levofloksasin, probenesid ve simetidin gibi levofloksasinin tübüler böbrek sekresyonunu azaltan ilaçlarla birlikte uygulandığında, özellikle böbrek yetmezliği olan hastalarda dikkatli olunmalıdır. </w:t>
      </w:r>
    </w:p>
    <w:p w:rsidR="00153D18" w:rsidRPr="002934D0" w:rsidRDefault="00153D18" w:rsidP="0031412B">
      <w:pPr>
        <w:pStyle w:val="Default"/>
        <w:spacing w:line="276" w:lineRule="auto"/>
        <w:jc w:val="both"/>
        <w:rPr>
          <w:color w:val="auto"/>
        </w:rPr>
      </w:pPr>
    </w:p>
    <w:p w:rsidR="008B60B7" w:rsidRPr="002934D0" w:rsidRDefault="008B60B7" w:rsidP="0031412B">
      <w:pPr>
        <w:pStyle w:val="Default"/>
        <w:spacing w:line="276" w:lineRule="auto"/>
        <w:jc w:val="both"/>
        <w:rPr>
          <w:color w:val="auto"/>
        </w:rPr>
      </w:pPr>
      <w:r w:rsidRPr="002934D0">
        <w:rPr>
          <w:color w:val="auto"/>
        </w:rPr>
        <w:t xml:space="preserve">Probenesid ve simetidin, levofloksasinin </w:t>
      </w:r>
      <w:proofErr w:type="gramStart"/>
      <w:r w:rsidRPr="002934D0">
        <w:rPr>
          <w:color w:val="auto"/>
        </w:rPr>
        <w:t>eliminasyonu</w:t>
      </w:r>
      <w:proofErr w:type="gramEnd"/>
      <w:r w:rsidRPr="002934D0">
        <w:rPr>
          <w:color w:val="auto"/>
        </w:rPr>
        <w:t xml:space="preserve"> üstünde istatistiksel olarak önemli ölçüde etki yapmaktadır. Levofloksasinin renal klirensi, simetidin ile % 24 oranında probenesid ile %34 oranında azalmaktadır. Bunun nedeni her iki ilacın da levofloksasinin renal tübüler sekresyonunu bloke etmesidir. Ancak yapılan çalışmada incelenen dozlarda, istatistiksel olarak anlamlı görülen kinetik farklılıkların, klinik açıdan anlamlık taşıması ihtimali yoktur. </w:t>
      </w:r>
    </w:p>
    <w:p w:rsidR="00153D18" w:rsidRPr="002934D0" w:rsidRDefault="00153D18" w:rsidP="0031412B">
      <w:pPr>
        <w:pStyle w:val="Default"/>
        <w:spacing w:line="276" w:lineRule="auto"/>
        <w:jc w:val="both"/>
        <w:rPr>
          <w:color w:val="auto"/>
        </w:rPr>
      </w:pPr>
    </w:p>
    <w:p w:rsidR="008B60B7" w:rsidRPr="002934D0" w:rsidRDefault="008B60B7" w:rsidP="0031412B">
      <w:pPr>
        <w:pStyle w:val="Default"/>
        <w:spacing w:line="276" w:lineRule="auto"/>
        <w:jc w:val="both"/>
        <w:rPr>
          <w:color w:val="auto"/>
          <w:u w:val="single"/>
        </w:rPr>
      </w:pPr>
      <w:r w:rsidRPr="002934D0">
        <w:rPr>
          <w:color w:val="auto"/>
          <w:u w:val="single"/>
        </w:rPr>
        <w:t xml:space="preserve">Siklosporin </w:t>
      </w:r>
    </w:p>
    <w:p w:rsidR="008B60B7" w:rsidRPr="002934D0" w:rsidRDefault="008B60B7" w:rsidP="0031412B">
      <w:pPr>
        <w:pStyle w:val="Default"/>
        <w:spacing w:line="276" w:lineRule="auto"/>
        <w:jc w:val="both"/>
        <w:rPr>
          <w:color w:val="auto"/>
        </w:rPr>
      </w:pPr>
      <w:r w:rsidRPr="002934D0">
        <w:rPr>
          <w:color w:val="auto"/>
        </w:rPr>
        <w:t xml:space="preserve">Siklosporinin yarı-ömrü, levofloksasin ile birlikte uygulandığında % 33 oranında artmaktadır. </w:t>
      </w:r>
    </w:p>
    <w:p w:rsidR="00153D18" w:rsidRPr="002934D0" w:rsidRDefault="00153D18" w:rsidP="0031412B">
      <w:pPr>
        <w:pStyle w:val="Default"/>
        <w:spacing w:line="276" w:lineRule="auto"/>
        <w:jc w:val="both"/>
        <w:rPr>
          <w:color w:val="auto"/>
        </w:rPr>
      </w:pPr>
    </w:p>
    <w:p w:rsidR="008B60B7" w:rsidRPr="002934D0" w:rsidRDefault="008B60B7" w:rsidP="0031412B">
      <w:pPr>
        <w:pStyle w:val="Default"/>
        <w:spacing w:line="276" w:lineRule="auto"/>
        <w:jc w:val="both"/>
        <w:rPr>
          <w:color w:val="auto"/>
          <w:u w:val="single"/>
        </w:rPr>
      </w:pPr>
      <w:r w:rsidRPr="002934D0">
        <w:rPr>
          <w:color w:val="auto"/>
          <w:u w:val="single"/>
        </w:rPr>
        <w:t xml:space="preserve">K vitamini </w:t>
      </w:r>
      <w:proofErr w:type="gramStart"/>
      <w:r w:rsidRPr="002934D0">
        <w:rPr>
          <w:color w:val="auto"/>
          <w:u w:val="single"/>
        </w:rPr>
        <w:t>antagonistleri</w:t>
      </w:r>
      <w:proofErr w:type="gramEnd"/>
      <w:r w:rsidRPr="002934D0">
        <w:rPr>
          <w:color w:val="auto"/>
          <w:u w:val="single"/>
        </w:rPr>
        <w:t xml:space="preserve"> </w:t>
      </w:r>
    </w:p>
    <w:p w:rsidR="008B60B7" w:rsidRPr="002934D0" w:rsidRDefault="008B60B7" w:rsidP="0031412B">
      <w:pPr>
        <w:pStyle w:val="Default"/>
        <w:spacing w:line="276" w:lineRule="auto"/>
        <w:jc w:val="both"/>
        <w:rPr>
          <w:color w:val="auto"/>
        </w:rPr>
      </w:pPr>
      <w:r w:rsidRPr="002934D0">
        <w:rPr>
          <w:color w:val="auto"/>
        </w:rPr>
        <w:t xml:space="preserve">Levofloksasin ile birlikte, bir K vitamini </w:t>
      </w:r>
      <w:proofErr w:type="gramStart"/>
      <w:r w:rsidRPr="002934D0">
        <w:rPr>
          <w:color w:val="auto"/>
        </w:rPr>
        <w:t>antagonisti</w:t>
      </w:r>
      <w:proofErr w:type="gramEnd"/>
      <w:r w:rsidRPr="002934D0">
        <w:rPr>
          <w:color w:val="auto"/>
        </w:rPr>
        <w:t xml:space="preserve"> (örneğin varfarin) ile tedavi edilen hastalardaki pıhtılaşma testleri (PT/INR) ve/veya kanamada şiddetli olabilen artışlar bildirildiğinden, K vitamini antagonistleri ile tedavi edilen hastalarda pıhtılaşma testleri yakından takip edilmelidir. </w:t>
      </w:r>
    </w:p>
    <w:p w:rsidR="008B60B7" w:rsidRPr="002934D0" w:rsidRDefault="008B60B7" w:rsidP="0031412B">
      <w:pPr>
        <w:pStyle w:val="Default"/>
        <w:spacing w:line="276" w:lineRule="auto"/>
        <w:jc w:val="both"/>
        <w:rPr>
          <w:color w:val="auto"/>
        </w:rPr>
      </w:pPr>
      <w:r w:rsidRPr="002934D0">
        <w:rPr>
          <w:color w:val="auto"/>
        </w:rPr>
        <w:t xml:space="preserve">Hastalar kanama belirtisi yönünden de dikkatli bir şekilde takip edilmelidir (Bkz. bölüm </w:t>
      </w:r>
      <w:proofErr w:type="gramStart"/>
      <w:r w:rsidRPr="002934D0">
        <w:rPr>
          <w:color w:val="auto"/>
        </w:rPr>
        <w:t>4.4</w:t>
      </w:r>
      <w:proofErr w:type="gramEnd"/>
      <w:r w:rsidRPr="002934D0">
        <w:rPr>
          <w:color w:val="auto"/>
        </w:rPr>
        <w:t xml:space="preserve">). </w:t>
      </w:r>
    </w:p>
    <w:p w:rsidR="00153D18" w:rsidRPr="002934D0" w:rsidRDefault="00153D18" w:rsidP="0031412B">
      <w:pPr>
        <w:pStyle w:val="Default"/>
        <w:spacing w:line="276" w:lineRule="auto"/>
        <w:jc w:val="both"/>
        <w:rPr>
          <w:color w:val="auto"/>
        </w:rPr>
      </w:pPr>
    </w:p>
    <w:p w:rsidR="008B60B7" w:rsidRPr="002934D0" w:rsidRDefault="008B60B7" w:rsidP="0031412B">
      <w:pPr>
        <w:pStyle w:val="Default"/>
        <w:spacing w:line="276" w:lineRule="auto"/>
        <w:jc w:val="both"/>
        <w:rPr>
          <w:color w:val="auto"/>
          <w:u w:val="single"/>
        </w:rPr>
      </w:pPr>
      <w:r w:rsidRPr="002934D0">
        <w:rPr>
          <w:color w:val="auto"/>
          <w:u w:val="single"/>
        </w:rPr>
        <w:t xml:space="preserve">QT aralığını uzattığı bilinen ilaçlar </w:t>
      </w:r>
    </w:p>
    <w:p w:rsidR="008B60B7" w:rsidRPr="002934D0" w:rsidRDefault="008B60B7" w:rsidP="0031412B">
      <w:pPr>
        <w:pStyle w:val="Default"/>
        <w:spacing w:line="276" w:lineRule="auto"/>
        <w:jc w:val="both"/>
        <w:rPr>
          <w:color w:val="auto"/>
        </w:rPr>
      </w:pPr>
      <w:r w:rsidRPr="002934D0">
        <w:rPr>
          <w:color w:val="auto"/>
        </w:rPr>
        <w:t xml:space="preserve">Levofloksasin diğer florokinolonlarda olduğu gibi, QT aralığını uzattığı bilinen ilaçları (örneğin Sınıf IA ve III antiaritmikler, trisiklik antidepresanlar, makrolidler, antipsikotikler) alan hastalarda dikkatli kullanılmalıdır (Bkz. bölüm </w:t>
      </w:r>
      <w:proofErr w:type="gramStart"/>
      <w:r w:rsidRPr="002934D0">
        <w:rPr>
          <w:color w:val="auto"/>
        </w:rPr>
        <w:t>4.4</w:t>
      </w:r>
      <w:proofErr w:type="gramEnd"/>
      <w:r w:rsidRPr="002934D0">
        <w:rPr>
          <w:color w:val="auto"/>
        </w:rPr>
        <w:t xml:space="preserve">, QT aralığının uzaması). </w:t>
      </w:r>
    </w:p>
    <w:p w:rsidR="00153D18" w:rsidRPr="002934D0" w:rsidRDefault="00153D18" w:rsidP="0031412B">
      <w:pPr>
        <w:pStyle w:val="Default"/>
        <w:spacing w:line="276" w:lineRule="auto"/>
        <w:jc w:val="both"/>
        <w:rPr>
          <w:color w:val="auto"/>
        </w:rPr>
      </w:pPr>
    </w:p>
    <w:p w:rsidR="008B60B7" w:rsidRPr="002934D0" w:rsidRDefault="008B60B7" w:rsidP="0031412B">
      <w:pPr>
        <w:pStyle w:val="Default"/>
        <w:spacing w:line="276" w:lineRule="auto"/>
        <w:jc w:val="both"/>
        <w:rPr>
          <w:color w:val="auto"/>
          <w:u w:val="single"/>
        </w:rPr>
      </w:pPr>
      <w:r w:rsidRPr="002934D0">
        <w:rPr>
          <w:color w:val="auto"/>
          <w:u w:val="single"/>
        </w:rPr>
        <w:t xml:space="preserve">Diğer </w:t>
      </w:r>
    </w:p>
    <w:p w:rsidR="008B60B7" w:rsidRPr="002934D0" w:rsidRDefault="008B60B7" w:rsidP="0031412B">
      <w:pPr>
        <w:pStyle w:val="Default"/>
        <w:spacing w:line="276" w:lineRule="auto"/>
        <w:jc w:val="both"/>
        <w:rPr>
          <w:color w:val="auto"/>
        </w:rPr>
      </w:pPr>
      <w:r w:rsidRPr="002934D0">
        <w:rPr>
          <w:color w:val="auto"/>
        </w:rPr>
        <w:t xml:space="preserve">Klinik </w:t>
      </w:r>
      <w:proofErr w:type="gramStart"/>
      <w:r w:rsidRPr="002934D0">
        <w:rPr>
          <w:color w:val="auto"/>
        </w:rPr>
        <w:t>farmakoloji</w:t>
      </w:r>
      <w:proofErr w:type="gramEnd"/>
      <w:r w:rsidRPr="002934D0">
        <w:rPr>
          <w:color w:val="auto"/>
        </w:rPr>
        <w:t xml:space="preserve"> çalışmalarında digoksin, glibenklamid, ranitidin, varfarin ile birlikte uygulanması halinde levofloksasinin farmakokinetiğinde klinikte önemi olabilecek her hangi bir değişiklik olmadığı gösterilmiştir. </w:t>
      </w:r>
    </w:p>
    <w:p w:rsidR="00153D18" w:rsidRPr="002934D0" w:rsidRDefault="00153D18" w:rsidP="0031412B">
      <w:pPr>
        <w:pStyle w:val="Default"/>
        <w:spacing w:line="276" w:lineRule="auto"/>
        <w:jc w:val="both"/>
        <w:rPr>
          <w:color w:val="auto"/>
          <w:u w:val="single"/>
        </w:rPr>
      </w:pPr>
    </w:p>
    <w:p w:rsidR="008B60B7" w:rsidRPr="002934D0" w:rsidRDefault="008B60B7" w:rsidP="0031412B">
      <w:pPr>
        <w:pStyle w:val="Default"/>
        <w:spacing w:line="276" w:lineRule="auto"/>
        <w:jc w:val="both"/>
        <w:rPr>
          <w:color w:val="auto"/>
          <w:u w:val="single"/>
        </w:rPr>
      </w:pPr>
      <w:r w:rsidRPr="002934D0">
        <w:rPr>
          <w:color w:val="auto"/>
          <w:u w:val="single"/>
        </w:rPr>
        <w:t xml:space="preserve">Besinler </w:t>
      </w:r>
    </w:p>
    <w:p w:rsidR="008B60B7" w:rsidRPr="002934D0" w:rsidRDefault="008B60B7"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Gıdalarla klinik olarak anlamlı etkileşimi olmadığından, </w:t>
      </w:r>
      <w:r w:rsidR="00153D18" w:rsidRPr="002934D0">
        <w:rPr>
          <w:rFonts w:ascii="Times New Roman" w:hAnsi="Times New Roman" w:cs="Times New Roman"/>
          <w:sz w:val="24"/>
          <w:szCs w:val="24"/>
        </w:rPr>
        <w:t>FLOXİLEVO</w:t>
      </w:r>
      <w:r w:rsidRPr="002934D0">
        <w:rPr>
          <w:rFonts w:ascii="Times New Roman" w:hAnsi="Times New Roman" w:cs="Times New Roman"/>
          <w:sz w:val="24"/>
          <w:szCs w:val="24"/>
        </w:rPr>
        <w:t xml:space="preserve"> besin alımından bağımsız olarak kullanılabilir.</w:t>
      </w:r>
    </w:p>
    <w:p w:rsidR="00153D18" w:rsidRPr="002934D0" w:rsidRDefault="00153D18" w:rsidP="0031412B">
      <w:pPr>
        <w:spacing w:after="0"/>
        <w:jc w:val="both"/>
        <w:rPr>
          <w:rFonts w:ascii="Times New Roman" w:hAnsi="Times New Roman" w:cs="Times New Roman"/>
          <w:b/>
          <w:sz w:val="24"/>
          <w:szCs w:val="24"/>
        </w:rPr>
      </w:pPr>
    </w:p>
    <w:p w:rsidR="00F82045" w:rsidRPr="002934D0" w:rsidRDefault="00F82045" w:rsidP="0031412B">
      <w:pPr>
        <w:spacing w:after="0"/>
        <w:jc w:val="both"/>
        <w:rPr>
          <w:rFonts w:ascii="Times New Roman" w:hAnsi="Times New Roman" w:cs="Times New Roman"/>
          <w:b/>
          <w:sz w:val="24"/>
          <w:szCs w:val="24"/>
        </w:rPr>
      </w:pPr>
    </w:p>
    <w:p w:rsidR="00616E59" w:rsidRPr="002934D0" w:rsidRDefault="00BE6FEB"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Gebelik ve laktasyon</w:t>
      </w:r>
    </w:p>
    <w:p w:rsidR="00BE6FEB" w:rsidRPr="002934D0" w:rsidRDefault="00BE6FEB"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t>Genel tavsiye</w:t>
      </w:r>
    </w:p>
    <w:p w:rsidR="00153D18" w:rsidRPr="002934D0" w:rsidRDefault="00153D18" w:rsidP="0031412B">
      <w:pPr>
        <w:pStyle w:val="Default"/>
        <w:spacing w:line="276" w:lineRule="auto"/>
        <w:jc w:val="both"/>
        <w:rPr>
          <w:color w:val="auto"/>
        </w:rPr>
      </w:pPr>
      <w:r w:rsidRPr="002934D0">
        <w:rPr>
          <w:color w:val="auto"/>
        </w:rPr>
        <w:t xml:space="preserve">Gebelik kategorisi C’dir. </w:t>
      </w:r>
    </w:p>
    <w:p w:rsidR="00616E59" w:rsidRPr="002934D0" w:rsidRDefault="00153D18"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Levofloksasininin gebe kadınlarda kullanımına ilişkin yeterli veri mevcut değildir.</w:t>
      </w:r>
    </w:p>
    <w:p w:rsidR="00153D18" w:rsidRPr="002934D0" w:rsidRDefault="00153D18" w:rsidP="0031412B">
      <w:pPr>
        <w:spacing w:after="0"/>
        <w:jc w:val="both"/>
        <w:rPr>
          <w:rFonts w:ascii="Times New Roman" w:hAnsi="Times New Roman" w:cs="Times New Roman"/>
          <w:b/>
          <w:sz w:val="24"/>
          <w:szCs w:val="24"/>
        </w:rPr>
      </w:pPr>
    </w:p>
    <w:p w:rsidR="00BE6FEB" w:rsidRPr="002934D0" w:rsidRDefault="00BE6FEB"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t>Çocuk doğurma potansiyeli bulunan kadınlar/Doğum kontrolü (Kontrasepsiyon)</w:t>
      </w:r>
    </w:p>
    <w:p w:rsidR="00616E59" w:rsidRPr="002934D0" w:rsidRDefault="00153D18" w:rsidP="0031412B">
      <w:pPr>
        <w:pStyle w:val="Default"/>
        <w:spacing w:line="276" w:lineRule="auto"/>
        <w:jc w:val="both"/>
        <w:rPr>
          <w:color w:val="auto"/>
        </w:rPr>
      </w:pPr>
      <w:r w:rsidRPr="002934D0">
        <w:rPr>
          <w:color w:val="auto"/>
        </w:rPr>
        <w:t xml:space="preserve">Çocuk doğurma potansiyeli bulunan kadınlarda kullanımına ilişkin yeterli veri </w:t>
      </w:r>
      <w:proofErr w:type="gramStart"/>
      <w:r w:rsidRPr="002934D0">
        <w:rPr>
          <w:color w:val="auto"/>
        </w:rPr>
        <w:t xml:space="preserve">mevcut </w:t>
      </w:r>
      <w:r w:rsidR="00F82045" w:rsidRPr="002934D0">
        <w:rPr>
          <w:color w:val="auto"/>
        </w:rPr>
        <w:t xml:space="preserve"> </w:t>
      </w:r>
      <w:r w:rsidRPr="002934D0">
        <w:rPr>
          <w:color w:val="auto"/>
        </w:rPr>
        <w:t>değildir</w:t>
      </w:r>
      <w:proofErr w:type="gramEnd"/>
      <w:r w:rsidRPr="002934D0">
        <w:rPr>
          <w:color w:val="auto"/>
        </w:rPr>
        <w:t>.</w:t>
      </w:r>
    </w:p>
    <w:p w:rsidR="00153D18" w:rsidRPr="002934D0" w:rsidRDefault="00153D18" w:rsidP="0031412B">
      <w:pPr>
        <w:spacing w:after="0"/>
        <w:jc w:val="both"/>
        <w:rPr>
          <w:rFonts w:ascii="Times New Roman" w:hAnsi="Times New Roman" w:cs="Times New Roman"/>
          <w:b/>
          <w:sz w:val="24"/>
          <w:szCs w:val="24"/>
        </w:rPr>
      </w:pPr>
    </w:p>
    <w:p w:rsidR="00BE6FEB" w:rsidRPr="002934D0" w:rsidRDefault="00BE6FEB"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t>Gebelik dönemi</w:t>
      </w:r>
    </w:p>
    <w:p w:rsidR="00616E59" w:rsidRPr="002934D0" w:rsidRDefault="00153D18"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Hayvanlar üzerinde yapılan çalışmalar, gebelik ve/veya embriyonal/fetal gelişim ve/veya/doğum ve/veya doğum sonrası gelişim üzerindeki etkiler bakımından yetersizdir. (Bkz. bölüm </w:t>
      </w:r>
      <w:proofErr w:type="gramStart"/>
      <w:r w:rsidRPr="002934D0">
        <w:rPr>
          <w:rFonts w:ascii="Times New Roman" w:hAnsi="Times New Roman" w:cs="Times New Roman"/>
          <w:sz w:val="24"/>
          <w:szCs w:val="24"/>
        </w:rPr>
        <w:t>4.3</w:t>
      </w:r>
      <w:proofErr w:type="gramEnd"/>
      <w:r w:rsidRPr="002934D0">
        <w:rPr>
          <w:rFonts w:ascii="Times New Roman" w:hAnsi="Times New Roman" w:cs="Times New Roman"/>
          <w:sz w:val="24"/>
          <w:szCs w:val="24"/>
        </w:rPr>
        <w:t xml:space="preserve"> 5.3). İnsanlara yönelik potansiyel risk bilinmemektedir. İnsanlarla ilgili verilerin yeterli olmaması ve florokinolonlarla yapılan deneysel çalışmalarda büyüyen organizmalarda ağırlık taşıyan kıkırdağa zarar verme riskinin gösterilmesi nedeniyle, </w:t>
      </w:r>
      <w:r w:rsidR="007C1E6E" w:rsidRPr="002934D0">
        <w:rPr>
          <w:rFonts w:ascii="Times New Roman" w:hAnsi="Times New Roman" w:cs="Times New Roman"/>
          <w:sz w:val="24"/>
          <w:szCs w:val="24"/>
        </w:rPr>
        <w:t>FLOXİLEVO</w:t>
      </w:r>
      <w:r w:rsidRPr="002934D0">
        <w:rPr>
          <w:rFonts w:ascii="Times New Roman" w:hAnsi="Times New Roman" w:cs="Times New Roman"/>
          <w:sz w:val="24"/>
          <w:szCs w:val="24"/>
        </w:rPr>
        <w:t xml:space="preserve"> gebelik döneminde kullanılmamalıdır.</w:t>
      </w:r>
    </w:p>
    <w:p w:rsidR="00153D18" w:rsidRPr="002934D0" w:rsidRDefault="00153D18" w:rsidP="0031412B">
      <w:pPr>
        <w:spacing w:after="0"/>
        <w:jc w:val="both"/>
        <w:rPr>
          <w:rFonts w:ascii="Times New Roman" w:hAnsi="Times New Roman" w:cs="Times New Roman"/>
          <w:b/>
          <w:sz w:val="24"/>
          <w:szCs w:val="24"/>
        </w:rPr>
      </w:pPr>
    </w:p>
    <w:p w:rsidR="00BE6FEB" w:rsidRPr="002934D0" w:rsidRDefault="00BE6FEB"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t>Laktasyon dönemi</w:t>
      </w:r>
    </w:p>
    <w:p w:rsidR="00616E59" w:rsidRPr="002934D0" w:rsidRDefault="00153D18"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Levofloksasinin insan ya da hayvan sütü ile atıldığına ilişkin yetersiz/sınırlı bilgi mevcuttur. Levofloksasinin süt ile atılmasına yönelik fizikokimyasal ve eldeki farmakodinamik / toksikolojik veriler nedeniyle memedeki çocuk açısından bir risk olduğu göz ardı edilemez. Florokinolonlarla yapılan deneysel çalışmalarda büyüyen organizmalarda ağırlık taşıyan kıkırdağa zarar verme riskinin gösterilmesi nedeniyle, </w:t>
      </w:r>
      <w:r w:rsidR="007C1E6E" w:rsidRPr="002934D0">
        <w:rPr>
          <w:rFonts w:ascii="Times New Roman" w:hAnsi="Times New Roman" w:cs="Times New Roman"/>
          <w:sz w:val="24"/>
          <w:szCs w:val="24"/>
        </w:rPr>
        <w:t>FLOXİLEVO</w:t>
      </w:r>
      <w:r w:rsidRPr="002934D0">
        <w:rPr>
          <w:rFonts w:ascii="Times New Roman" w:hAnsi="Times New Roman" w:cs="Times New Roman"/>
          <w:sz w:val="24"/>
          <w:szCs w:val="24"/>
        </w:rPr>
        <w:t xml:space="preserve"> emzirme döneminde kullanılmamalıdır</w:t>
      </w:r>
      <w:r w:rsidRPr="002934D0">
        <w:rPr>
          <w:rFonts w:ascii="Times New Roman" w:hAnsi="Times New Roman" w:cs="Times New Roman"/>
          <w:i/>
          <w:iCs/>
          <w:sz w:val="24"/>
          <w:szCs w:val="24"/>
        </w:rPr>
        <w:t xml:space="preserve">. </w:t>
      </w:r>
      <w:r w:rsidRPr="002934D0">
        <w:rPr>
          <w:rFonts w:ascii="Times New Roman" w:hAnsi="Times New Roman" w:cs="Times New Roman"/>
          <w:sz w:val="24"/>
          <w:szCs w:val="24"/>
        </w:rPr>
        <w:t xml:space="preserve">(Bkz. bölüm </w:t>
      </w:r>
      <w:proofErr w:type="gramStart"/>
      <w:r w:rsidRPr="002934D0">
        <w:rPr>
          <w:rFonts w:ascii="Times New Roman" w:hAnsi="Times New Roman" w:cs="Times New Roman"/>
          <w:sz w:val="24"/>
          <w:szCs w:val="24"/>
        </w:rPr>
        <w:t>4.3</w:t>
      </w:r>
      <w:proofErr w:type="gramEnd"/>
      <w:r w:rsidRPr="002934D0">
        <w:rPr>
          <w:rFonts w:ascii="Times New Roman" w:hAnsi="Times New Roman" w:cs="Times New Roman"/>
          <w:sz w:val="24"/>
          <w:szCs w:val="24"/>
        </w:rPr>
        <w:t xml:space="preserve"> ve 5.3).</w:t>
      </w:r>
    </w:p>
    <w:p w:rsidR="00153D18" w:rsidRPr="002934D0" w:rsidRDefault="00153D18" w:rsidP="0031412B">
      <w:pPr>
        <w:spacing w:after="0"/>
        <w:jc w:val="both"/>
        <w:rPr>
          <w:rFonts w:ascii="Times New Roman" w:hAnsi="Times New Roman" w:cs="Times New Roman"/>
          <w:b/>
          <w:sz w:val="24"/>
          <w:szCs w:val="24"/>
        </w:rPr>
      </w:pPr>
    </w:p>
    <w:p w:rsidR="00BE6FEB" w:rsidRPr="002934D0" w:rsidRDefault="00BE6FEB" w:rsidP="0031412B">
      <w:pPr>
        <w:spacing w:after="0"/>
        <w:jc w:val="both"/>
        <w:rPr>
          <w:rFonts w:ascii="Times New Roman" w:hAnsi="Times New Roman" w:cs="Times New Roman"/>
          <w:b/>
          <w:sz w:val="24"/>
          <w:szCs w:val="24"/>
        </w:rPr>
      </w:pPr>
      <w:r w:rsidRPr="002934D0">
        <w:rPr>
          <w:rFonts w:ascii="Times New Roman" w:hAnsi="Times New Roman" w:cs="Times New Roman"/>
          <w:b/>
          <w:sz w:val="24"/>
          <w:szCs w:val="24"/>
        </w:rPr>
        <w:t>Üreme yeteneği/Fertilite</w:t>
      </w:r>
    </w:p>
    <w:p w:rsidR="00616E59" w:rsidRPr="002934D0" w:rsidRDefault="007C1E6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FLOXİLEVO </w:t>
      </w:r>
      <w:r w:rsidR="00153D18" w:rsidRPr="002934D0">
        <w:rPr>
          <w:rFonts w:ascii="Times New Roman" w:hAnsi="Times New Roman" w:cs="Times New Roman"/>
          <w:sz w:val="24"/>
          <w:szCs w:val="24"/>
        </w:rPr>
        <w:t>’</w:t>
      </w:r>
      <w:r w:rsidRPr="002934D0">
        <w:rPr>
          <w:rFonts w:ascii="Times New Roman" w:hAnsi="Times New Roman" w:cs="Times New Roman"/>
          <w:sz w:val="24"/>
          <w:szCs w:val="24"/>
        </w:rPr>
        <w:t>nu</w:t>
      </w:r>
      <w:r w:rsidR="00153D18" w:rsidRPr="002934D0">
        <w:rPr>
          <w:rFonts w:ascii="Times New Roman" w:hAnsi="Times New Roman" w:cs="Times New Roman"/>
          <w:sz w:val="24"/>
          <w:szCs w:val="24"/>
        </w:rPr>
        <w:t>n insanlar üzerindeki üreme yeteneğine ilişkin yeterli veri mevcut değildir.</w:t>
      </w:r>
    </w:p>
    <w:p w:rsidR="00153D18" w:rsidRPr="002934D0" w:rsidRDefault="00153D18" w:rsidP="0031412B">
      <w:pPr>
        <w:spacing w:after="0"/>
        <w:jc w:val="both"/>
        <w:rPr>
          <w:rFonts w:ascii="Times New Roman" w:hAnsi="Times New Roman" w:cs="Times New Roman"/>
          <w:sz w:val="24"/>
          <w:szCs w:val="24"/>
        </w:rPr>
      </w:pPr>
    </w:p>
    <w:p w:rsidR="00BE6FEB" w:rsidRPr="002934D0" w:rsidRDefault="00BE6FEB"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Araç ve makine kullanımı üzerindeki etkiler</w:t>
      </w:r>
    </w:p>
    <w:p w:rsidR="00616E59" w:rsidRPr="002934D0" w:rsidRDefault="007C1E6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FLOXİLEVO kullanımı, hastanın </w:t>
      </w:r>
      <w:proofErr w:type="gramStart"/>
      <w:r w:rsidRPr="002934D0">
        <w:rPr>
          <w:rFonts w:ascii="Times New Roman" w:hAnsi="Times New Roman" w:cs="Times New Roman"/>
          <w:sz w:val="24"/>
          <w:szCs w:val="24"/>
        </w:rPr>
        <w:t>konsantrasyon</w:t>
      </w:r>
      <w:proofErr w:type="gramEnd"/>
      <w:r w:rsidRPr="002934D0">
        <w:rPr>
          <w:rFonts w:ascii="Times New Roman" w:hAnsi="Times New Roman" w:cs="Times New Roman"/>
          <w:sz w:val="24"/>
          <w:szCs w:val="24"/>
        </w:rPr>
        <w:t xml:space="preserve"> ve tepki verme yeteneğini bozabilecek sersemlik/baş dönmesi, görme bozuklukları, uyuklama gibi bazı istenmeyen yan etkilere yol açabilir. Araç ve makine kullanımı gibi özel dikkat isteyen durumlarda bu yeteneklerdeki azalma bir risk teşkil edebilir. FLOXİLEVO kullanırken bu gibi yan etkiler yaşayan hastaların araç ve makine kullanmaması gerekir.</w:t>
      </w:r>
    </w:p>
    <w:p w:rsidR="007C1E6E" w:rsidRPr="002934D0" w:rsidRDefault="007C1E6E" w:rsidP="0031412B">
      <w:pPr>
        <w:spacing w:after="0"/>
        <w:jc w:val="both"/>
        <w:rPr>
          <w:rFonts w:ascii="Times New Roman" w:hAnsi="Times New Roman" w:cs="Times New Roman"/>
          <w:sz w:val="24"/>
          <w:szCs w:val="24"/>
        </w:rPr>
      </w:pPr>
    </w:p>
    <w:p w:rsidR="00BE6FEB" w:rsidRPr="002934D0" w:rsidRDefault="00BE6FEB"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İstenmeyen etkiler</w:t>
      </w:r>
    </w:p>
    <w:p w:rsidR="007C1E6E" w:rsidRPr="002934D0" w:rsidRDefault="007C1E6E" w:rsidP="0031412B">
      <w:pPr>
        <w:autoSpaceDE w:val="0"/>
        <w:autoSpaceDN w:val="0"/>
        <w:adjustRightInd w:val="0"/>
        <w:spacing w:after="0"/>
        <w:jc w:val="both"/>
        <w:rPr>
          <w:rFonts w:ascii="Times New Roman" w:hAnsi="Times New Roman" w:cs="Times New Roman"/>
          <w:sz w:val="24"/>
          <w:szCs w:val="24"/>
        </w:rPr>
      </w:pPr>
      <w:r w:rsidRPr="002934D0">
        <w:rPr>
          <w:rFonts w:ascii="Times New Roman" w:hAnsi="Times New Roman" w:cs="Times New Roman"/>
          <w:sz w:val="24"/>
          <w:szCs w:val="24"/>
        </w:rPr>
        <w:t>Aşağıda verilen bilgiler 5000den fazla hastanın katıldığı klinik araştırmalardan ve pazarlama sonrası deneyimlerden elde edilen verileri temel almaktadır.</w:t>
      </w:r>
    </w:p>
    <w:p w:rsidR="007C1E6E" w:rsidRPr="002934D0" w:rsidRDefault="007C1E6E" w:rsidP="0031412B">
      <w:pPr>
        <w:autoSpaceDE w:val="0"/>
        <w:autoSpaceDN w:val="0"/>
        <w:adjustRightInd w:val="0"/>
        <w:spacing w:after="0"/>
        <w:jc w:val="both"/>
        <w:rPr>
          <w:rFonts w:ascii="Times New Roman" w:hAnsi="Times New Roman" w:cs="Times New Roman"/>
          <w:sz w:val="24"/>
          <w:szCs w:val="24"/>
        </w:rPr>
      </w:pPr>
    </w:p>
    <w:p w:rsidR="00822066" w:rsidRPr="002934D0" w:rsidRDefault="00822066" w:rsidP="0031412B">
      <w:pPr>
        <w:autoSpaceDE w:val="0"/>
        <w:autoSpaceDN w:val="0"/>
        <w:adjustRightInd w:val="0"/>
        <w:spacing w:after="0"/>
        <w:jc w:val="both"/>
        <w:rPr>
          <w:rFonts w:ascii="Times New Roman" w:hAnsi="Times New Roman" w:cs="Times New Roman"/>
          <w:sz w:val="24"/>
          <w:szCs w:val="24"/>
        </w:rPr>
      </w:pPr>
      <w:r w:rsidRPr="002934D0">
        <w:rPr>
          <w:rFonts w:ascii="Times New Roman" w:hAnsi="Times New Roman" w:cs="Times New Roman"/>
          <w:sz w:val="24"/>
          <w:szCs w:val="24"/>
        </w:rPr>
        <w:t>Çok yaygın (≥1/10); yaygın (≥1/100, &lt; 1/10); yaygın olmayan (≥1/1.000, &lt; 1/100); seyrek (≥1/10.000, &lt; 1/1.000), çok seyrek (&lt; 1/10.000), bilinmiyor (eldeki verilerden hareketle tahmin edilemiyor).</w:t>
      </w:r>
    </w:p>
    <w:p w:rsidR="007C1E6E" w:rsidRPr="002934D0" w:rsidRDefault="007C1E6E" w:rsidP="0031412B">
      <w:pPr>
        <w:pStyle w:val="Default"/>
        <w:spacing w:line="276" w:lineRule="auto"/>
        <w:jc w:val="both"/>
        <w:rPr>
          <w:color w:val="auto"/>
        </w:rPr>
      </w:pPr>
      <w:r w:rsidRPr="002934D0">
        <w:rPr>
          <w:color w:val="auto"/>
        </w:rPr>
        <w:t xml:space="preserve">Her sıklık grubu içinde sunulan istenmeyen etkiler azalan şiddete göre sıralanmıştır. </w:t>
      </w:r>
    </w:p>
    <w:p w:rsidR="00E90C81" w:rsidRPr="002934D0" w:rsidRDefault="00E90C81"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Enfeksiyonlar ve enfestasyonlar </w:t>
      </w:r>
    </w:p>
    <w:p w:rsidR="007C1E6E" w:rsidRPr="002934D0" w:rsidRDefault="007C1E6E" w:rsidP="0031412B">
      <w:pPr>
        <w:pStyle w:val="Default"/>
        <w:spacing w:line="276" w:lineRule="auto"/>
        <w:jc w:val="both"/>
        <w:rPr>
          <w:color w:val="auto"/>
        </w:rPr>
      </w:pPr>
      <w:r w:rsidRPr="002934D0">
        <w:rPr>
          <w:color w:val="auto"/>
        </w:rPr>
        <w:t xml:space="preserve">Yaygın olmayan: Mantar </w:t>
      </w:r>
      <w:proofErr w:type="gramStart"/>
      <w:r w:rsidRPr="002934D0">
        <w:rPr>
          <w:color w:val="auto"/>
        </w:rPr>
        <w:t>enfeksiyonları</w:t>
      </w:r>
      <w:proofErr w:type="gramEnd"/>
      <w:r w:rsidRPr="002934D0">
        <w:rPr>
          <w:color w:val="auto"/>
        </w:rPr>
        <w:t xml:space="preserve">, patojen direnci </w:t>
      </w:r>
    </w:p>
    <w:p w:rsidR="00F82045" w:rsidRPr="002934D0" w:rsidRDefault="00F82045"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Kan ve lenf sistemi bozuklukları </w:t>
      </w:r>
    </w:p>
    <w:p w:rsidR="007C1E6E" w:rsidRPr="002934D0" w:rsidRDefault="007C1E6E" w:rsidP="0031412B">
      <w:pPr>
        <w:pStyle w:val="Default"/>
        <w:spacing w:line="276" w:lineRule="auto"/>
        <w:jc w:val="both"/>
        <w:rPr>
          <w:color w:val="auto"/>
        </w:rPr>
      </w:pPr>
      <w:r w:rsidRPr="002934D0">
        <w:rPr>
          <w:color w:val="auto"/>
        </w:rPr>
        <w:t xml:space="preserve">Yaygın olmayan: Lökopeni, eozinofili </w:t>
      </w:r>
    </w:p>
    <w:p w:rsidR="00616E59" w:rsidRPr="002934D0" w:rsidRDefault="007C1E6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Seyrek: Nötropeni, trombositopeni</w:t>
      </w:r>
    </w:p>
    <w:p w:rsidR="007C1E6E" w:rsidRPr="002934D0" w:rsidRDefault="007C1E6E" w:rsidP="0031412B">
      <w:pPr>
        <w:pStyle w:val="Default"/>
        <w:spacing w:line="276" w:lineRule="auto"/>
        <w:jc w:val="both"/>
        <w:rPr>
          <w:color w:val="auto"/>
        </w:rPr>
      </w:pPr>
      <w:r w:rsidRPr="002934D0">
        <w:rPr>
          <w:color w:val="auto"/>
        </w:rPr>
        <w:t xml:space="preserve">Bilinmiyor (pazarlama sonrası veriler): Pansitopeni, agranülositoz, hemolitik anemi </w:t>
      </w:r>
    </w:p>
    <w:p w:rsidR="00055EF1" w:rsidRPr="002934D0" w:rsidRDefault="00055EF1"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Bağışıklık sistemi bozuklukları </w:t>
      </w:r>
    </w:p>
    <w:p w:rsidR="007C1E6E" w:rsidRPr="002934D0" w:rsidRDefault="007C1E6E" w:rsidP="0031412B">
      <w:pPr>
        <w:pStyle w:val="Default"/>
        <w:spacing w:line="276" w:lineRule="auto"/>
        <w:jc w:val="both"/>
        <w:rPr>
          <w:color w:val="auto"/>
        </w:rPr>
      </w:pPr>
      <w:r w:rsidRPr="002934D0">
        <w:rPr>
          <w:color w:val="auto"/>
        </w:rPr>
        <w:t xml:space="preserve">Seyrek: Anjiyoödem </w:t>
      </w:r>
    </w:p>
    <w:p w:rsidR="007C1E6E" w:rsidRPr="002934D0" w:rsidRDefault="007C1E6E" w:rsidP="0031412B">
      <w:pPr>
        <w:pStyle w:val="Default"/>
        <w:spacing w:line="276" w:lineRule="auto"/>
        <w:jc w:val="both"/>
        <w:rPr>
          <w:color w:val="auto"/>
        </w:rPr>
      </w:pPr>
      <w:r w:rsidRPr="002934D0">
        <w:rPr>
          <w:color w:val="auto"/>
        </w:rPr>
        <w:t xml:space="preserve">Bilinmiyor (pazarlama sonrası verileri): Anafilaktik şok, anafilaktoid şok. </w:t>
      </w:r>
    </w:p>
    <w:p w:rsidR="007C1E6E" w:rsidRPr="002934D0" w:rsidRDefault="007C1E6E" w:rsidP="0031412B">
      <w:pPr>
        <w:pStyle w:val="Default"/>
        <w:spacing w:line="276" w:lineRule="auto"/>
        <w:jc w:val="both"/>
        <w:rPr>
          <w:color w:val="auto"/>
        </w:rPr>
      </w:pPr>
      <w:r w:rsidRPr="002934D0">
        <w:rPr>
          <w:color w:val="auto"/>
        </w:rPr>
        <w:t xml:space="preserve">İlk dozdan sonra bile bazen anafilaktik ve anafilaksi benzeri reaksiyonlar meydana gelebilir (bkz. Bölüm </w:t>
      </w:r>
      <w:proofErr w:type="gramStart"/>
      <w:r w:rsidRPr="002934D0">
        <w:rPr>
          <w:color w:val="auto"/>
        </w:rPr>
        <w:t>4.4</w:t>
      </w:r>
      <w:proofErr w:type="gramEnd"/>
      <w:r w:rsidRPr="002934D0">
        <w:rPr>
          <w:color w:val="auto"/>
        </w:rPr>
        <w:t xml:space="preserve">). </w:t>
      </w:r>
    </w:p>
    <w:p w:rsidR="00055EF1" w:rsidRPr="002934D0" w:rsidRDefault="00055EF1"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Metabolizma ve beslenme bozuklukları </w:t>
      </w:r>
    </w:p>
    <w:p w:rsidR="007C1E6E" w:rsidRPr="002934D0" w:rsidRDefault="007C1E6E" w:rsidP="0031412B">
      <w:pPr>
        <w:pStyle w:val="Default"/>
        <w:spacing w:line="276" w:lineRule="auto"/>
        <w:jc w:val="both"/>
        <w:rPr>
          <w:color w:val="auto"/>
        </w:rPr>
      </w:pPr>
      <w:r w:rsidRPr="002934D0">
        <w:rPr>
          <w:color w:val="auto"/>
        </w:rPr>
        <w:t xml:space="preserve">Yaygın olmayan: Anoreksi </w:t>
      </w:r>
    </w:p>
    <w:p w:rsidR="007C1E6E" w:rsidRPr="002934D0" w:rsidRDefault="007C1E6E" w:rsidP="0031412B">
      <w:pPr>
        <w:pStyle w:val="Default"/>
        <w:spacing w:line="276" w:lineRule="auto"/>
        <w:jc w:val="both"/>
        <w:rPr>
          <w:color w:val="auto"/>
        </w:rPr>
      </w:pPr>
      <w:r w:rsidRPr="002934D0">
        <w:rPr>
          <w:color w:val="auto"/>
        </w:rPr>
        <w:t xml:space="preserve">Seyrek: Özellikle diyabetli hastalarda hipoglisemi (bkz. Bölüm </w:t>
      </w:r>
      <w:proofErr w:type="gramStart"/>
      <w:r w:rsidRPr="002934D0">
        <w:rPr>
          <w:color w:val="auto"/>
        </w:rPr>
        <w:t>4.4</w:t>
      </w:r>
      <w:proofErr w:type="gramEnd"/>
      <w:r w:rsidRPr="002934D0">
        <w:rPr>
          <w:color w:val="auto"/>
        </w:rPr>
        <w:t xml:space="preserve">) </w:t>
      </w:r>
    </w:p>
    <w:p w:rsidR="007C1E6E" w:rsidRPr="002934D0" w:rsidRDefault="007C1E6E" w:rsidP="0031412B">
      <w:pPr>
        <w:pStyle w:val="Default"/>
        <w:spacing w:line="276" w:lineRule="auto"/>
        <w:jc w:val="both"/>
        <w:rPr>
          <w:color w:val="auto"/>
        </w:rPr>
      </w:pPr>
      <w:r w:rsidRPr="002934D0">
        <w:rPr>
          <w:color w:val="auto"/>
        </w:rPr>
        <w:t xml:space="preserve">Bilinmiyor: Hipoglisemik koma (bkz. Bölüm </w:t>
      </w:r>
      <w:proofErr w:type="gramStart"/>
      <w:r w:rsidRPr="002934D0">
        <w:rPr>
          <w:color w:val="auto"/>
        </w:rPr>
        <w:t>4.4</w:t>
      </w:r>
      <w:proofErr w:type="gramEnd"/>
      <w:r w:rsidRPr="002934D0">
        <w:rPr>
          <w:color w:val="auto"/>
        </w:rPr>
        <w:t xml:space="preserve">) </w:t>
      </w:r>
    </w:p>
    <w:p w:rsidR="00055EF1" w:rsidRPr="002934D0" w:rsidRDefault="00055EF1"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Psikiyatrik bozukluklar </w:t>
      </w:r>
    </w:p>
    <w:p w:rsidR="007C1E6E" w:rsidRPr="002934D0" w:rsidRDefault="007C1E6E" w:rsidP="0031412B">
      <w:pPr>
        <w:pStyle w:val="Default"/>
        <w:spacing w:line="276" w:lineRule="auto"/>
        <w:jc w:val="both"/>
        <w:rPr>
          <w:color w:val="auto"/>
        </w:rPr>
      </w:pPr>
      <w:r w:rsidRPr="002934D0">
        <w:rPr>
          <w:color w:val="auto"/>
        </w:rPr>
        <w:t xml:space="preserve">Yaygın: İnsomnia </w:t>
      </w:r>
    </w:p>
    <w:p w:rsidR="007C1E6E" w:rsidRPr="002934D0" w:rsidRDefault="007C1E6E" w:rsidP="0031412B">
      <w:pPr>
        <w:pStyle w:val="Default"/>
        <w:spacing w:line="276" w:lineRule="auto"/>
        <w:jc w:val="both"/>
        <w:rPr>
          <w:color w:val="auto"/>
        </w:rPr>
      </w:pPr>
      <w:r w:rsidRPr="002934D0">
        <w:rPr>
          <w:color w:val="auto"/>
        </w:rPr>
        <w:t xml:space="preserve">Yaygın olmayan: Anksiyete, konfüzyon durumu </w:t>
      </w:r>
    </w:p>
    <w:p w:rsidR="007C1E6E" w:rsidRPr="002934D0" w:rsidRDefault="007C1E6E" w:rsidP="0031412B">
      <w:pPr>
        <w:pStyle w:val="Default"/>
        <w:spacing w:line="276" w:lineRule="auto"/>
        <w:jc w:val="both"/>
        <w:rPr>
          <w:color w:val="auto"/>
        </w:rPr>
      </w:pPr>
      <w:r w:rsidRPr="002934D0">
        <w:rPr>
          <w:color w:val="auto"/>
        </w:rPr>
        <w:t xml:space="preserve">Seyrek: Psikotik bozukluk (örn. halüsinasyonlarla birlikte), depresyon, </w:t>
      </w:r>
      <w:proofErr w:type="gramStart"/>
      <w:r w:rsidRPr="002934D0">
        <w:rPr>
          <w:color w:val="auto"/>
        </w:rPr>
        <w:t>ajitasyon</w:t>
      </w:r>
      <w:proofErr w:type="gramEnd"/>
      <w:r w:rsidRPr="002934D0">
        <w:rPr>
          <w:color w:val="auto"/>
        </w:rPr>
        <w:t xml:space="preserve">, anormal rüyalar, kabuslar </w:t>
      </w:r>
    </w:p>
    <w:p w:rsidR="007C1E6E" w:rsidRPr="002934D0" w:rsidRDefault="007C1E6E" w:rsidP="0031412B">
      <w:pPr>
        <w:pStyle w:val="Default"/>
        <w:spacing w:line="276" w:lineRule="auto"/>
        <w:jc w:val="both"/>
        <w:rPr>
          <w:color w:val="auto"/>
        </w:rPr>
      </w:pPr>
      <w:r w:rsidRPr="002934D0">
        <w:rPr>
          <w:color w:val="auto"/>
        </w:rPr>
        <w:t>Bilinmi</w:t>
      </w:r>
      <w:r w:rsidR="00055EF1" w:rsidRPr="002934D0">
        <w:rPr>
          <w:color w:val="auto"/>
        </w:rPr>
        <w:t>yor (pazarlama sonrası veriler)</w:t>
      </w:r>
      <w:r w:rsidRPr="002934D0">
        <w:rPr>
          <w:color w:val="auto"/>
        </w:rPr>
        <w:t xml:space="preserve">: İntihar düşünceleri ve intihar girişimi de </w:t>
      </w:r>
      <w:proofErr w:type="gramStart"/>
      <w:r w:rsidRPr="002934D0">
        <w:rPr>
          <w:color w:val="auto"/>
        </w:rPr>
        <w:t>dahil</w:t>
      </w:r>
      <w:proofErr w:type="gramEnd"/>
      <w:r w:rsidRPr="002934D0">
        <w:rPr>
          <w:color w:val="auto"/>
        </w:rPr>
        <w:t xml:space="preserve">, kendine zarar verici davranışlarla birlikte psikotik reaksiyonlar </w:t>
      </w:r>
    </w:p>
    <w:p w:rsidR="00055EF1" w:rsidRPr="002934D0" w:rsidRDefault="00055EF1"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Sinir sistemi bozuklukları </w:t>
      </w:r>
    </w:p>
    <w:p w:rsidR="007C1E6E" w:rsidRPr="002934D0" w:rsidRDefault="007C1E6E" w:rsidP="0031412B">
      <w:pPr>
        <w:pStyle w:val="Default"/>
        <w:spacing w:line="276" w:lineRule="auto"/>
        <w:jc w:val="both"/>
        <w:rPr>
          <w:color w:val="auto"/>
        </w:rPr>
      </w:pPr>
      <w:r w:rsidRPr="002934D0">
        <w:rPr>
          <w:color w:val="auto"/>
        </w:rPr>
        <w:t xml:space="preserve">Yaygın: Baş ağrısı, sersemlik </w:t>
      </w:r>
    </w:p>
    <w:p w:rsidR="007C1E6E" w:rsidRPr="002934D0" w:rsidRDefault="007C1E6E" w:rsidP="0031412B">
      <w:pPr>
        <w:pStyle w:val="Default"/>
        <w:spacing w:line="276" w:lineRule="auto"/>
        <w:jc w:val="both"/>
        <w:rPr>
          <w:color w:val="auto"/>
        </w:rPr>
      </w:pPr>
      <w:r w:rsidRPr="002934D0">
        <w:rPr>
          <w:color w:val="auto"/>
        </w:rPr>
        <w:t xml:space="preserve">Yaygın olmayan: Somnolans, tremor, tat duyusunda bozukluk (disguzi) </w:t>
      </w:r>
    </w:p>
    <w:p w:rsidR="007C1E6E" w:rsidRPr="002934D0" w:rsidRDefault="007C1E6E" w:rsidP="0031412B">
      <w:pPr>
        <w:pStyle w:val="Default"/>
        <w:spacing w:line="276" w:lineRule="auto"/>
        <w:jc w:val="both"/>
        <w:rPr>
          <w:color w:val="auto"/>
        </w:rPr>
      </w:pPr>
      <w:r w:rsidRPr="002934D0">
        <w:rPr>
          <w:color w:val="auto"/>
        </w:rPr>
        <w:t xml:space="preserve">Seyrek: Parestezi, konvülsiyonlar (bkz. Bölüm </w:t>
      </w:r>
      <w:proofErr w:type="gramStart"/>
      <w:r w:rsidRPr="002934D0">
        <w:rPr>
          <w:color w:val="auto"/>
        </w:rPr>
        <w:t>4.4</w:t>
      </w:r>
      <w:proofErr w:type="gramEnd"/>
      <w:r w:rsidRPr="002934D0">
        <w:rPr>
          <w:color w:val="auto"/>
        </w:rPr>
        <w:t xml:space="preserve">), </w:t>
      </w:r>
    </w:p>
    <w:p w:rsidR="007C1E6E" w:rsidRPr="002934D0" w:rsidRDefault="007C1E6E" w:rsidP="0031412B">
      <w:pPr>
        <w:pStyle w:val="Default"/>
        <w:spacing w:line="276" w:lineRule="auto"/>
        <w:jc w:val="both"/>
        <w:rPr>
          <w:color w:val="auto"/>
        </w:rPr>
      </w:pPr>
      <w:r w:rsidRPr="002934D0">
        <w:rPr>
          <w:color w:val="auto"/>
        </w:rPr>
        <w:t xml:space="preserve">Bilinmiyor (pazarlama sonrası veriler): Duyusal ve duyusal-motor periferik nöropati (bkz. Bölüm 4.4), diskinezi, ekstrapiramidal bozukluk, tat duyusu kaybı (aguzi), koku duyusu kaybı (anosmi) </w:t>
      </w:r>
      <w:proofErr w:type="gramStart"/>
      <w:r w:rsidRPr="002934D0">
        <w:rPr>
          <w:color w:val="auto"/>
        </w:rPr>
        <w:t>dahil</w:t>
      </w:r>
      <w:proofErr w:type="gramEnd"/>
      <w:r w:rsidRPr="002934D0">
        <w:rPr>
          <w:color w:val="auto"/>
        </w:rPr>
        <w:t xml:space="preserve"> koku alma bozuklukları (parosmi) </w:t>
      </w:r>
    </w:p>
    <w:p w:rsidR="00055EF1" w:rsidRPr="002934D0" w:rsidRDefault="00055EF1"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Göz bozuklukları </w:t>
      </w:r>
    </w:p>
    <w:p w:rsidR="007C1E6E" w:rsidRPr="002934D0" w:rsidRDefault="007C1E6E" w:rsidP="0031412B">
      <w:pPr>
        <w:pStyle w:val="Default"/>
        <w:spacing w:line="276" w:lineRule="auto"/>
        <w:jc w:val="both"/>
        <w:rPr>
          <w:color w:val="auto"/>
        </w:rPr>
      </w:pPr>
      <w:r w:rsidRPr="002934D0">
        <w:rPr>
          <w:color w:val="auto"/>
        </w:rPr>
        <w:t xml:space="preserve">Seyrek: Bulanık görüş </w:t>
      </w:r>
      <w:proofErr w:type="gramStart"/>
      <w:r w:rsidRPr="002934D0">
        <w:rPr>
          <w:color w:val="auto"/>
        </w:rPr>
        <w:t>dahil</w:t>
      </w:r>
      <w:proofErr w:type="gramEnd"/>
      <w:r w:rsidRPr="002934D0">
        <w:rPr>
          <w:color w:val="auto"/>
        </w:rPr>
        <w:t xml:space="preserve"> görme yeteneğinde bozulma </w:t>
      </w:r>
    </w:p>
    <w:p w:rsidR="00055EF1" w:rsidRPr="002934D0" w:rsidRDefault="00055EF1"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Kulak ve iç kulak hastalıkları </w:t>
      </w:r>
    </w:p>
    <w:p w:rsidR="007C1E6E" w:rsidRPr="002934D0" w:rsidRDefault="007C1E6E" w:rsidP="0031412B">
      <w:pPr>
        <w:pStyle w:val="Default"/>
        <w:spacing w:line="276" w:lineRule="auto"/>
        <w:jc w:val="both"/>
        <w:rPr>
          <w:color w:val="auto"/>
        </w:rPr>
      </w:pPr>
      <w:r w:rsidRPr="002934D0">
        <w:rPr>
          <w:color w:val="auto"/>
        </w:rPr>
        <w:t xml:space="preserve">Yaygın olmayan: Vertigo </w:t>
      </w:r>
    </w:p>
    <w:p w:rsidR="007C1E6E" w:rsidRPr="002934D0" w:rsidRDefault="007C1E6E" w:rsidP="0031412B">
      <w:pPr>
        <w:pStyle w:val="Default"/>
        <w:spacing w:line="276" w:lineRule="auto"/>
        <w:jc w:val="both"/>
        <w:rPr>
          <w:color w:val="auto"/>
        </w:rPr>
      </w:pPr>
      <w:r w:rsidRPr="002934D0">
        <w:rPr>
          <w:color w:val="auto"/>
        </w:rPr>
        <w:t xml:space="preserve">Seyrek: Kulak çınlaması </w:t>
      </w:r>
    </w:p>
    <w:p w:rsidR="007C1E6E" w:rsidRPr="002934D0" w:rsidRDefault="007C1E6E" w:rsidP="0031412B">
      <w:pPr>
        <w:pStyle w:val="Default"/>
        <w:spacing w:line="276" w:lineRule="auto"/>
        <w:jc w:val="both"/>
        <w:rPr>
          <w:color w:val="auto"/>
        </w:rPr>
      </w:pPr>
      <w:r w:rsidRPr="002934D0">
        <w:rPr>
          <w:color w:val="auto"/>
        </w:rPr>
        <w:t xml:space="preserve">Bilinmiyor: İşitme yeteneğinde bozulma </w:t>
      </w:r>
    </w:p>
    <w:p w:rsidR="00055EF1" w:rsidRPr="002934D0" w:rsidRDefault="00055EF1"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lastRenderedPageBreak/>
        <w:t xml:space="preserve">Kardiyak bozukluklar </w:t>
      </w:r>
    </w:p>
    <w:p w:rsidR="007C1E6E" w:rsidRPr="002934D0" w:rsidRDefault="007C1E6E" w:rsidP="0031412B">
      <w:pPr>
        <w:pStyle w:val="Default"/>
        <w:spacing w:line="276" w:lineRule="auto"/>
        <w:jc w:val="both"/>
        <w:rPr>
          <w:color w:val="auto"/>
        </w:rPr>
      </w:pPr>
      <w:r w:rsidRPr="002934D0">
        <w:rPr>
          <w:color w:val="auto"/>
        </w:rPr>
        <w:t xml:space="preserve">Seyrek: Taşikardi </w:t>
      </w:r>
    </w:p>
    <w:p w:rsidR="007C1E6E" w:rsidRPr="002934D0" w:rsidRDefault="007C1E6E" w:rsidP="0031412B">
      <w:pPr>
        <w:pStyle w:val="Default"/>
        <w:spacing w:line="276" w:lineRule="auto"/>
        <w:jc w:val="both"/>
        <w:rPr>
          <w:color w:val="auto"/>
        </w:rPr>
      </w:pPr>
      <w:r w:rsidRPr="002934D0">
        <w:rPr>
          <w:color w:val="auto"/>
        </w:rPr>
        <w:t xml:space="preserve">Bilinmiyor (pazarlama sonrası veriler): Kalp durmasıyla sonuçlanabilen Torsade de pointes, ventriküler aritmi, ventriküler taşikardi, elektrokardiyogramda QT aralığının uzaması (Bkz. bölüm </w:t>
      </w:r>
      <w:proofErr w:type="gramStart"/>
      <w:r w:rsidRPr="002934D0">
        <w:rPr>
          <w:color w:val="auto"/>
        </w:rPr>
        <w:t>4.4</w:t>
      </w:r>
      <w:proofErr w:type="gramEnd"/>
      <w:r w:rsidRPr="002934D0">
        <w:rPr>
          <w:color w:val="auto"/>
        </w:rPr>
        <w:t xml:space="preserve">, QT aralığı uzaması ve Bölüm 4.9) </w:t>
      </w:r>
    </w:p>
    <w:p w:rsidR="00055EF1" w:rsidRPr="002934D0" w:rsidRDefault="00055EF1" w:rsidP="0031412B">
      <w:pPr>
        <w:pStyle w:val="Default"/>
        <w:spacing w:line="276" w:lineRule="auto"/>
        <w:jc w:val="both"/>
        <w:rPr>
          <w:color w:val="auto"/>
        </w:rPr>
      </w:pPr>
    </w:p>
    <w:p w:rsidR="007C1E6E" w:rsidRPr="002934D0" w:rsidRDefault="007C1E6E" w:rsidP="0031412B">
      <w:pPr>
        <w:pStyle w:val="Default"/>
        <w:spacing w:line="276" w:lineRule="auto"/>
        <w:jc w:val="both"/>
        <w:rPr>
          <w:color w:val="auto"/>
        </w:rPr>
      </w:pPr>
      <w:r w:rsidRPr="002934D0">
        <w:rPr>
          <w:b/>
          <w:bCs/>
          <w:color w:val="auto"/>
        </w:rPr>
        <w:t xml:space="preserve">Vasküler bozukluklar </w:t>
      </w:r>
    </w:p>
    <w:p w:rsidR="007C1E6E" w:rsidRPr="002934D0" w:rsidRDefault="007C1E6E" w:rsidP="0031412B">
      <w:pPr>
        <w:pStyle w:val="Default"/>
        <w:spacing w:line="276" w:lineRule="auto"/>
        <w:jc w:val="both"/>
        <w:rPr>
          <w:color w:val="auto"/>
        </w:rPr>
      </w:pPr>
      <w:r w:rsidRPr="002934D0">
        <w:rPr>
          <w:color w:val="auto"/>
        </w:rPr>
        <w:t xml:space="preserve">Seyrek: Hipotansiyon </w:t>
      </w:r>
    </w:p>
    <w:p w:rsidR="00055EF1" w:rsidRPr="002934D0" w:rsidRDefault="00055EF1"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Solunum, göğüs bozuklukları ve mediastinal hastalıklar </w:t>
      </w:r>
    </w:p>
    <w:p w:rsidR="007C1E6E" w:rsidRPr="002934D0" w:rsidRDefault="00055EF1" w:rsidP="0031412B">
      <w:pPr>
        <w:pStyle w:val="Default"/>
        <w:spacing w:line="276" w:lineRule="auto"/>
        <w:jc w:val="both"/>
        <w:rPr>
          <w:color w:val="auto"/>
        </w:rPr>
      </w:pPr>
      <w:r w:rsidRPr="002934D0">
        <w:rPr>
          <w:color w:val="auto"/>
        </w:rPr>
        <w:t xml:space="preserve">Yaygın </w:t>
      </w:r>
      <w:proofErr w:type="gramStart"/>
      <w:r w:rsidRPr="002934D0">
        <w:rPr>
          <w:color w:val="auto"/>
        </w:rPr>
        <w:t>olmayan</w:t>
      </w:r>
      <w:r w:rsidR="007C1E6E" w:rsidRPr="002934D0">
        <w:rPr>
          <w:color w:val="auto"/>
        </w:rPr>
        <w:t>:Dispne</w:t>
      </w:r>
      <w:proofErr w:type="gramEnd"/>
      <w:r w:rsidR="007C1E6E" w:rsidRPr="002934D0">
        <w:rPr>
          <w:color w:val="auto"/>
        </w:rPr>
        <w:t xml:space="preserve"> </w:t>
      </w:r>
    </w:p>
    <w:p w:rsidR="007C1E6E" w:rsidRPr="002934D0" w:rsidRDefault="007C1E6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Bilinmiyor (pazarlama sonrası veriler): Bronkospazm, alerjik pnömoni</w:t>
      </w:r>
    </w:p>
    <w:p w:rsidR="00055EF1" w:rsidRPr="002934D0" w:rsidRDefault="00055EF1" w:rsidP="0031412B">
      <w:pPr>
        <w:spacing w:after="0"/>
        <w:jc w:val="both"/>
        <w:rPr>
          <w:rFonts w:ascii="Times New Roman" w:hAnsi="Times New Roman" w:cs="Times New Roman"/>
          <w:sz w:val="24"/>
          <w:szCs w:val="24"/>
        </w:rPr>
      </w:pPr>
    </w:p>
    <w:p w:rsidR="007C1E6E" w:rsidRPr="002934D0" w:rsidRDefault="007C1E6E" w:rsidP="0031412B">
      <w:pPr>
        <w:pStyle w:val="Default"/>
        <w:spacing w:line="276" w:lineRule="auto"/>
        <w:jc w:val="both"/>
        <w:rPr>
          <w:color w:val="auto"/>
        </w:rPr>
      </w:pPr>
      <w:r w:rsidRPr="002934D0">
        <w:rPr>
          <w:b/>
          <w:bCs/>
          <w:color w:val="auto"/>
        </w:rPr>
        <w:t xml:space="preserve">Gastrointestinal bozukluklar </w:t>
      </w:r>
    </w:p>
    <w:p w:rsidR="007C1E6E" w:rsidRPr="002934D0" w:rsidRDefault="007C1E6E" w:rsidP="0031412B">
      <w:pPr>
        <w:pStyle w:val="Default"/>
        <w:spacing w:line="276" w:lineRule="auto"/>
        <w:jc w:val="both"/>
        <w:rPr>
          <w:color w:val="auto"/>
        </w:rPr>
      </w:pPr>
      <w:r w:rsidRPr="002934D0">
        <w:rPr>
          <w:color w:val="auto"/>
        </w:rPr>
        <w:t xml:space="preserve">Yaygın: Diyare, kusma, bulantı </w:t>
      </w:r>
    </w:p>
    <w:p w:rsidR="007C1E6E" w:rsidRPr="002934D0" w:rsidRDefault="007C1E6E" w:rsidP="0031412B">
      <w:pPr>
        <w:pStyle w:val="Default"/>
        <w:spacing w:line="276" w:lineRule="auto"/>
        <w:jc w:val="both"/>
        <w:rPr>
          <w:color w:val="auto"/>
        </w:rPr>
      </w:pPr>
      <w:r w:rsidRPr="002934D0">
        <w:rPr>
          <w:color w:val="auto"/>
        </w:rPr>
        <w:t xml:space="preserve">Yaygın olmayan: Karın ağrısı, dispepsi, </w:t>
      </w:r>
    </w:p>
    <w:p w:rsidR="007C1E6E" w:rsidRPr="002934D0" w:rsidRDefault="007C1E6E" w:rsidP="0031412B">
      <w:pPr>
        <w:pStyle w:val="Default"/>
        <w:spacing w:line="276" w:lineRule="auto"/>
        <w:jc w:val="both"/>
        <w:rPr>
          <w:color w:val="auto"/>
        </w:rPr>
      </w:pPr>
      <w:r w:rsidRPr="002934D0">
        <w:rPr>
          <w:color w:val="auto"/>
        </w:rPr>
        <w:t xml:space="preserve">Bilinmiyor (pazarlama sonrası veriler): Hemorajik </w:t>
      </w:r>
      <w:r w:rsidR="00F82045" w:rsidRPr="002934D0">
        <w:rPr>
          <w:color w:val="auto"/>
        </w:rPr>
        <w:t xml:space="preserve">diyare -çok seyrek olgularda </w:t>
      </w:r>
      <w:r w:rsidRPr="002934D0">
        <w:rPr>
          <w:color w:val="auto"/>
        </w:rPr>
        <w:t xml:space="preserve">psödomembranöz kolit (bkz. Bölüm 4.4) </w:t>
      </w:r>
      <w:proofErr w:type="gramStart"/>
      <w:r w:rsidRPr="002934D0">
        <w:rPr>
          <w:color w:val="auto"/>
        </w:rPr>
        <w:t>dahil</w:t>
      </w:r>
      <w:proofErr w:type="gramEnd"/>
      <w:r w:rsidRPr="002934D0">
        <w:rPr>
          <w:color w:val="auto"/>
        </w:rPr>
        <w:t xml:space="preserve">, enterokolite işaret edebilir. </w:t>
      </w:r>
    </w:p>
    <w:p w:rsidR="001C0108" w:rsidRPr="002934D0" w:rsidRDefault="001C0108"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Hepato-biliyer bozukluklar </w:t>
      </w:r>
    </w:p>
    <w:p w:rsidR="007C1E6E" w:rsidRPr="002934D0" w:rsidRDefault="007C1E6E" w:rsidP="0031412B">
      <w:pPr>
        <w:pStyle w:val="Default"/>
        <w:spacing w:line="276" w:lineRule="auto"/>
        <w:jc w:val="both"/>
        <w:rPr>
          <w:color w:val="auto"/>
        </w:rPr>
      </w:pPr>
      <w:r w:rsidRPr="002934D0">
        <w:rPr>
          <w:color w:val="auto"/>
        </w:rPr>
        <w:t xml:space="preserve">Yaygın: Karaciğer enzimlerinde artış (ALT/AST) </w:t>
      </w:r>
    </w:p>
    <w:p w:rsidR="007C1E6E" w:rsidRPr="002934D0" w:rsidRDefault="007C1E6E" w:rsidP="0031412B">
      <w:pPr>
        <w:pStyle w:val="Default"/>
        <w:spacing w:line="276" w:lineRule="auto"/>
        <w:jc w:val="both"/>
        <w:rPr>
          <w:color w:val="auto"/>
        </w:rPr>
      </w:pPr>
      <w:r w:rsidRPr="002934D0">
        <w:rPr>
          <w:color w:val="auto"/>
        </w:rPr>
        <w:t xml:space="preserve">Yaygın olmayan: Kanda bilirübin artışı </w:t>
      </w:r>
    </w:p>
    <w:p w:rsidR="007C1E6E" w:rsidRPr="002934D0" w:rsidRDefault="007C1E6E" w:rsidP="0031412B">
      <w:pPr>
        <w:pStyle w:val="Default"/>
        <w:spacing w:line="276" w:lineRule="auto"/>
        <w:jc w:val="both"/>
        <w:rPr>
          <w:color w:val="auto"/>
        </w:rPr>
      </w:pPr>
      <w:r w:rsidRPr="002934D0">
        <w:rPr>
          <w:color w:val="auto"/>
        </w:rPr>
        <w:t xml:space="preserve">Bilinmiyor (pazarlama sonrası veriler): Ağır karaciğer hasarı </w:t>
      </w:r>
    </w:p>
    <w:p w:rsidR="007C1E6E" w:rsidRPr="002934D0" w:rsidRDefault="007C1E6E" w:rsidP="0031412B">
      <w:pPr>
        <w:pStyle w:val="Default"/>
        <w:spacing w:line="276" w:lineRule="auto"/>
        <w:jc w:val="both"/>
        <w:rPr>
          <w:color w:val="auto"/>
        </w:rPr>
      </w:pPr>
      <w:r w:rsidRPr="002934D0">
        <w:rPr>
          <w:color w:val="auto"/>
        </w:rPr>
        <w:t xml:space="preserve">Primer olarak altta yatan ciddi hastalığı bulunan hastalarda levofloksasin ile bazen ölümcül olabilen akut karaciğer yetmezliği gelişen olgular rapor edilmiştir (bkz. Bölüm </w:t>
      </w:r>
      <w:proofErr w:type="gramStart"/>
      <w:r w:rsidRPr="002934D0">
        <w:rPr>
          <w:color w:val="auto"/>
        </w:rPr>
        <w:t>4.4</w:t>
      </w:r>
      <w:proofErr w:type="gramEnd"/>
      <w:r w:rsidRPr="002934D0">
        <w:rPr>
          <w:color w:val="auto"/>
        </w:rPr>
        <w:t xml:space="preserve">), hepatit. </w:t>
      </w:r>
    </w:p>
    <w:p w:rsidR="001C0108" w:rsidRPr="002934D0" w:rsidRDefault="001C0108"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Deri ve derialtı dokusu hastalıkları </w:t>
      </w:r>
    </w:p>
    <w:p w:rsidR="007C1E6E" w:rsidRPr="002934D0" w:rsidRDefault="007C1E6E" w:rsidP="0031412B">
      <w:pPr>
        <w:pStyle w:val="Default"/>
        <w:spacing w:line="276" w:lineRule="auto"/>
        <w:jc w:val="both"/>
        <w:rPr>
          <w:color w:val="auto"/>
        </w:rPr>
      </w:pPr>
      <w:r w:rsidRPr="002934D0">
        <w:rPr>
          <w:color w:val="auto"/>
        </w:rPr>
        <w:t xml:space="preserve">Yaygın olmayan: Kaşıntı, kızarıklık, ürtiker </w:t>
      </w:r>
    </w:p>
    <w:p w:rsidR="007C1E6E" w:rsidRPr="002934D0" w:rsidRDefault="007C1E6E" w:rsidP="0031412B">
      <w:pPr>
        <w:pStyle w:val="Default"/>
        <w:spacing w:line="276" w:lineRule="auto"/>
        <w:jc w:val="both"/>
        <w:rPr>
          <w:color w:val="auto"/>
        </w:rPr>
      </w:pPr>
      <w:r w:rsidRPr="002934D0">
        <w:rPr>
          <w:color w:val="auto"/>
        </w:rPr>
        <w:t xml:space="preserve">Bilinmiyor: Toksik epidermal nekroliz, Stevens-Johnson sendromu (bkz. Bölüm </w:t>
      </w:r>
      <w:proofErr w:type="gramStart"/>
      <w:r w:rsidRPr="002934D0">
        <w:rPr>
          <w:color w:val="auto"/>
        </w:rPr>
        <w:t>4.4</w:t>
      </w:r>
      <w:proofErr w:type="gramEnd"/>
      <w:r w:rsidRPr="002934D0">
        <w:rPr>
          <w:color w:val="auto"/>
        </w:rPr>
        <w:t xml:space="preserve">), eritema multiforme, fotosensitivite reaksiyonu (bkz. Bölüm 4.4), lökositoklastik vaskülit. </w:t>
      </w:r>
    </w:p>
    <w:p w:rsidR="007C1E6E" w:rsidRPr="002934D0" w:rsidRDefault="007C1E6E" w:rsidP="0031412B">
      <w:pPr>
        <w:pStyle w:val="Default"/>
        <w:spacing w:line="276" w:lineRule="auto"/>
        <w:jc w:val="both"/>
        <w:rPr>
          <w:color w:val="auto"/>
        </w:rPr>
      </w:pPr>
      <w:r w:rsidRPr="002934D0">
        <w:rPr>
          <w:color w:val="auto"/>
        </w:rPr>
        <w:t xml:space="preserve">Bazen ilk dozu takiben bile mukokütanöz reaksiyonlar meydana gelebilir. </w:t>
      </w:r>
    </w:p>
    <w:p w:rsidR="001C0108" w:rsidRPr="002934D0" w:rsidRDefault="001C0108" w:rsidP="0031412B">
      <w:pPr>
        <w:pStyle w:val="Default"/>
        <w:spacing w:line="276" w:lineRule="auto"/>
        <w:jc w:val="both"/>
        <w:rPr>
          <w:color w:val="auto"/>
        </w:rPr>
      </w:pPr>
    </w:p>
    <w:p w:rsidR="007C1E6E" w:rsidRPr="002934D0" w:rsidRDefault="007C1E6E" w:rsidP="0031412B">
      <w:pPr>
        <w:pStyle w:val="Default"/>
        <w:spacing w:line="276" w:lineRule="auto"/>
        <w:jc w:val="both"/>
        <w:rPr>
          <w:color w:val="auto"/>
        </w:rPr>
      </w:pPr>
      <w:r w:rsidRPr="002934D0">
        <w:rPr>
          <w:b/>
          <w:bCs/>
          <w:color w:val="auto"/>
        </w:rPr>
        <w:t xml:space="preserve">Kas-iskelet bozuklukları, bağ dokusu ve kemik hastalıkları </w:t>
      </w:r>
    </w:p>
    <w:p w:rsidR="007C1E6E" w:rsidRPr="002934D0" w:rsidRDefault="007C1E6E" w:rsidP="0031412B">
      <w:pPr>
        <w:pStyle w:val="Default"/>
        <w:spacing w:line="276" w:lineRule="auto"/>
        <w:jc w:val="both"/>
        <w:rPr>
          <w:color w:val="auto"/>
        </w:rPr>
      </w:pPr>
      <w:r w:rsidRPr="002934D0">
        <w:rPr>
          <w:color w:val="auto"/>
        </w:rPr>
        <w:t xml:space="preserve">Yaygın olmayan: Artralji, miyalji </w:t>
      </w:r>
    </w:p>
    <w:p w:rsidR="007C1E6E" w:rsidRPr="002934D0" w:rsidRDefault="007C1E6E" w:rsidP="0031412B">
      <w:pPr>
        <w:pStyle w:val="Default"/>
        <w:spacing w:line="276" w:lineRule="auto"/>
        <w:jc w:val="both"/>
        <w:rPr>
          <w:color w:val="auto"/>
        </w:rPr>
      </w:pPr>
      <w:r w:rsidRPr="002934D0">
        <w:rPr>
          <w:color w:val="auto"/>
        </w:rPr>
        <w:t xml:space="preserve">Seyrek: Tendinit </w:t>
      </w:r>
      <w:proofErr w:type="gramStart"/>
      <w:r w:rsidRPr="002934D0">
        <w:rPr>
          <w:color w:val="auto"/>
        </w:rPr>
        <w:t>dahil</w:t>
      </w:r>
      <w:proofErr w:type="gramEnd"/>
      <w:r w:rsidRPr="002934D0">
        <w:rPr>
          <w:color w:val="auto"/>
        </w:rPr>
        <w:t xml:space="preserve"> tendon bozukluğu (Bkz. bölüm 4.4) (Örneğin </w:t>
      </w:r>
      <w:r w:rsidR="001C0108" w:rsidRPr="002934D0">
        <w:rPr>
          <w:color w:val="auto"/>
        </w:rPr>
        <w:t xml:space="preserve">Aşil tendonunda gelişebilir), </w:t>
      </w:r>
      <w:r w:rsidRPr="002934D0">
        <w:rPr>
          <w:color w:val="auto"/>
        </w:rPr>
        <w:t xml:space="preserve">Myastenia Gravis’li hastalarda özel önem taşıyan kas güçsüzlüğü (Bkz. bölüm 4.4 Myastenia Gravis’in şiddetlenmesi) </w:t>
      </w:r>
    </w:p>
    <w:p w:rsidR="007C1E6E" w:rsidRPr="002934D0" w:rsidRDefault="007C1E6E" w:rsidP="0031412B">
      <w:pPr>
        <w:pStyle w:val="Default"/>
        <w:spacing w:line="276" w:lineRule="auto"/>
        <w:jc w:val="both"/>
        <w:rPr>
          <w:color w:val="auto"/>
        </w:rPr>
      </w:pPr>
      <w:r w:rsidRPr="002934D0">
        <w:rPr>
          <w:color w:val="auto"/>
        </w:rPr>
        <w:t xml:space="preserve">Bilinmiyor (pazarlama sonrası veriler): Rabdomiyoliz, tendon rüptürü (örn. Aşil tendonu) (bkz. bölüm </w:t>
      </w:r>
      <w:proofErr w:type="gramStart"/>
      <w:r w:rsidRPr="002934D0">
        <w:rPr>
          <w:color w:val="auto"/>
        </w:rPr>
        <w:t>4.4</w:t>
      </w:r>
      <w:proofErr w:type="gramEnd"/>
      <w:r w:rsidRPr="002934D0">
        <w:rPr>
          <w:color w:val="auto"/>
        </w:rPr>
        <w:t xml:space="preserve">) </w:t>
      </w:r>
    </w:p>
    <w:p w:rsidR="001C0108" w:rsidRPr="002934D0" w:rsidRDefault="001C0108" w:rsidP="0031412B">
      <w:pPr>
        <w:pStyle w:val="Default"/>
        <w:spacing w:line="276" w:lineRule="auto"/>
        <w:jc w:val="both"/>
        <w:rPr>
          <w:color w:val="auto"/>
        </w:rPr>
      </w:pPr>
    </w:p>
    <w:p w:rsidR="007C1E6E" w:rsidRPr="002934D0" w:rsidRDefault="007C1E6E" w:rsidP="0031412B">
      <w:pPr>
        <w:pStyle w:val="Default"/>
        <w:spacing w:line="276" w:lineRule="auto"/>
        <w:jc w:val="both"/>
        <w:rPr>
          <w:color w:val="auto"/>
        </w:rPr>
      </w:pPr>
      <w:r w:rsidRPr="002934D0">
        <w:rPr>
          <w:b/>
          <w:bCs/>
          <w:color w:val="auto"/>
        </w:rPr>
        <w:t xml:space="preserve">Böbrek ve idrar hastalıkları </w:t>
      </w:r>
    </w:p>
    <w:p w:rsidR="007C1E6E" w:rsidRPr="002934D0" w:rsidRDefault="007C1E6E" w:rsidP="0031412B">
      <w:pPr>
        <w:pStyle w:val="Default"/>
        <w:spacing w:line="276" w:lineRule="auto"/>
        <w:jc w:val="both"/>
        <w:rPr>
          <w:color w:val="auto"/>
        </w:rPr>
      </w:pPr>
      <w:r w:rsidRPr="002934D0">
        <w:rPr>
          <w:color w:val="auto"/>
        </w:rPr>
        <w:t xml:space="preserve">Yaygın olmayan: Kan kreatinin düzeyinin artması </w:t>
      </w:r>
    </w:p>
    <w:p w:rsidR="007C1E6E" w:rsidRPr="002934D0" w:rsidRDefault="007C1E6E" w:rsidP="0031412B">
      <w:pPr>
        <w:pStyle w:val="Default"/>
        <w:spacing w:line="276" w:lineRule="auto"/>
        <w:jc w:val="both"/>
        <w:rPr>
          <w:color w:val="auto"/>
        </w:rPr>
      </w:pPr>
      <w:r w:rsidRPr="002934D0">
        <w:rPr>
          <w:color w:val="auto"/>
        </w:rPr>
        <w:t xml:space="preserve">Seyrek: Akut böbrek yetmezliği (örn. interstisyel nefrite bağlı) </w:t>
      </w:r>
    </w:p>
    <w:p w:rsidR="001C0108" w:rsidRPr="002934D0" w:rsidRDefault="001C0108"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lastRenderedPageBreak/>
        <w:t xml:space="preserve">Genel bozukluklar ve uygulama bölgesine ilişkin hastalıklar </w:t>
      </w:r>
    </w:p>
    <w:p w:rsidR="007C1E6E" w:rsidRPr="002934D0" w:rsidRDefault="007C1E6E" w:rsidP="0031412B">
      <w:pPr>
        <w:pStyle w:val="Default"/>
        <w:spacing w:line="276" w:lineRule="auto"/>
        <w:jc w:val="both"/>
        <w:rPr>
          <w:color w:val="auto"/>
        </w:rPr>
      </w:pPr>
      <w:r w:rsidRPr="002934D0">
        <w:rPr>
          <w:color w:val="auto"/>
        </w:rPr>
        <w:t xml:space="preserve">Yaygın olmayan: Asteni </w:t>
      </w:r>
    </w:p>
    <w:p w:rsidR="007C1E6E" w:rsidRPr="002934D0" w:rsidRDefault="007C1E6E" w:rsidP="0031412B">
      <w:pPr>
        <w:pStyle w:val="Default"/>
        <w:spacing w:line="276" w:lineRule="auto"/>
        <w:jc w:val="both"/>
        <w:rPr>
          <w:color w:val="auto"/>
        </w:rPr>
      </w:pPr>
      <w:r w:rsidRPr="002934D0">
        <w:rPr>
          <w:color w:val="auto"/>
        </w:rPr>
        <w:t xml:space="preserve">Seyrek: Ateş </w:t>
      </w:r>
    </w:p>
    <w:p w:rsidR="001C0108" w:rsidRPr="002934D0" w:rsidRDefault="001C0108" w:rsidP="0031412B">
      <w:pPr>
        <w:pStyle w:val="Default"/>
        <w:spacing w:line="276" w:lineRule="auto"/>
        <w:jc w:val="both"/>
        <w:rPr>
          <w:b/>
          <w:bCs/>
          <w:color w:val="auto"/>
        </w:rPr>
      </w:pPr>
    </w:p>
    <w:p w:rsidR="007C1E6E" w:rsidRPr="002934D0" w:rsidRDefault="007C1E6E" w:rsidP="0031412B">
      <w:pPr>
        <w:pStyle w:val="Default"/>
        <w:spacing w:line="276" w:lineRule="auto"/>
        <w:jc w:val="both"/>
        <w:rPr>
          <w:color w:val="auto"/>
        </w:rPr>
      </w:pPr>
      <w:r w:rsidRPr="002934D0">
        <w:rPr>
          <w:b/>
          <w:bCs/>
          <w:color w:val="auto"/>
        </w:rPr>
        <w:t xml:space="preserve">Florokinolon uygulanmasıyla ilişkili diğer istenmeyen etkiler: </w:t>
      </w:r>
    </w:p>
    <w:p w:rsidR="007C1E6E" w:rsidRPr="002934D0" w:rsidRDefault="007C1E6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Çok seyrek: Porfiri hastalığı bulunanlarda porfiri atakları</w:t>
      </w:r>
    </w:p>
    <w:p w:rsidR="00960707" w:rsidRPr="002934D0" w:rsidRDefault="00960707" w:rsidP="00960707">
      <w:pPr>
        <w:tabs>
          <w:tab w:val="left" w:pos="142"/>
          <w:tab w:val="left" w:pos="284"/>
          <w:tab w:val="left" w:pos="426"/>
        </w:tabs>
        <w:spacing w:line="240" w:lineRule="auto"/>
        <w:jc w:val="both"/>
        <w:rPr>
          <w:rFonts w:ascii="Times New Roman" w:eastAsia="MS Mincho" w:hAnsi="Times New Roman"/>
          <w:sz w:val="24"/>
          <w:szCs w:val="24"/>
          <w:u w:val="single"/>
          <w:lang w:eastAsia="ja-JP"/>
        </w:rPr>
      </w:pPr>
    </w:p>
    <w:p w:rsidR="00960707" w:rsidRPr="002934D0" w:rsidRDefault="00960707" w:rsidP="00960707">
      <w:pPr>
        <w:tabs>
          <w:tab w:val="left" w:pos="142"/>
          <w:tab w:val="left" w:pos="284"/>
          <w:tab w:val="left" w:pos="426"/>
        </w:tabs>
        <w:spacing w:line="240" w:lineRule="auto"/>
        <w:jc w:val="both"/>
        <w:rPr>
          <w:rFonts w:ascii="Times New Roman" w:eastAsia="MS Mincho" w:hAnsi="Times New Roman"/>
          <w:sz w:val="24"/>
          <w:szCs w:val="24"/>
          <w:u w:val="single"/>
          <w:lang w:eastAsia="ja-JP"/>
        </w:rPr>
      </w:pPr>
      <w:r w:rsidRPr="002934D0">
        <w:rPr>
          <w:rFonts w:ascii="Times New Roman" w:eastAsia="MS Mincho" w:hAnsi="Times New Roman" w:hint="eastAsia"/>
          <w:sz w:val="24"/>
          <w:szCs w:val="24"/>
          <w:u w:val="single"/>
          <w:lang w:eastAsia="ja-JP"/>
        </w:rPr>
        <w:t>Ş</w:t>
      </w:r>
      <w:r w:rsidRPr="002934D0">
        <w:rPr>
          <w:rFonts w:ascii="Times New Roman" w:eastAsia="MS Mincho" w:hAnsi="Times New Roman"/>
          <w:sz w:val="24"/>
          <w:szCs w:val="24"/>
          <w:u w:val="single"/>
          <w:lang w:eastAsia="ja-JP"/>
        </w:rPr>
        <w:t xml:space="preserve">üpheli </w:t>
      </w:r>
      <w:proofErr w:type="spellStart"/>
      <w:r w:rsidRPr="002934D0">
        <w:rPr>
          <w:rFonts w:ascii="Times New Roman" w:eastAsia="MS Mincho" w:hAnsi="Times New Roman"/>
          <w:sz w:val="24"/>
          <w:szCs w:val="24"/>
          <w:u w:val="single"/>
          <w:lang w:eastAsia="ja-JP"/>
        </w:rPr>
        <w:t>advers</w:t>
      </w:r>
      <w:proofErr w:type="spellEnd"/>
      <w:r w:rsidRPr="002934D0">
        <w:rPr>
          <w:rFonts w:ascii="Times New Roman" w:eastAsia="MS Mincho" w:hAnsi="Times New Roman"/>
          <w:sz w:val="24"/>
          <w:szCs w:val="24"/>
          <w:u w:val="single"/>
          <w:lang w:eastAsia="ja-JP"/>
        </w:rPr>
        <w:t xml:space="preserve"> reaksiyonlar</w:t>
      </w:r>
      <w:r w:rsidRPr="002934D0">
        <w:rPr>
          <w:rFonts w:ascii="Times New Roman" w:eastAsia="MS Mincho" w:hAnsi="Times New Roman" w:hint="eastAsia"/>
          <w:sz w:val="24"/>
          <w:szCs w:val="24"/>
          <w:u w:val="single"/>
          <w:lang w:eastAsia="ja-JP"/>
        </w:rPr>
        <w:t>ı</w:t>
      </w:r>
      <w:r w:rsidRPr="002934D0">
        <w:rPr>
          <w:rFonts w:ascii="Times New Roman" w:eastAsia="MS Mincho" w:hAnsi="Times New Roman"/>
          <w:sz w:val="24"/>
          <w:szCs w:val="24"/>
          <w:u w:val="single"/>
          <w:lang w:eastAsia="ja-JP"/>
        </w:rPr>
        <w:t>n raporlanmas</w:t>
      </w:r>
      <w:r w:rsidRPr="002934D0">
        <w:rPr>
          <w:rFonts w:ascii="Times New Roman" w:eastAsia="MS Mincho" w:hAnsi="Times New Roman" w:hint="eastAsia"/>
          <w:sz w:val="24"/>
          <w:szCs w:val="24"/>
          <w:u w:val="single"/>
          <w:lang w:eastAsia="ja-JP"/>
        </w:rPr>
        <w:t>ı</w:t>
      </w:r>
    </w:p>
    <w:p w:rsidR="00960707" w:rsidRPr="002934D0" w:rsidRDefault="00960707" w:rsidP="00960707">
      <w:pPr>
        <w:tabs>
          <w:tab w:val="left" w:pos="142"/>
          <w:tab w:val="left" w:pos="284"/>
          <w:tab w:val="left" w:pos="426"/>
        </w:tabs>
        <w:spacing w:line="240" w:lineRule="auto"/>
        <w:jc w:val="both"/>
        <w:rPr>
          <w:rFonts w:ascii="Times New Roman" w:eastAsia="MS Mincho" w:hAnsi="Times New Roman"/>
          <w:sz w:val="24"/>
          <w:szCs w:val="24"/>
          <w:lang w:eastAsia="ja-JP"/>
        </w:rPr>
      </w:pPr>
      <w:r w:rsidRPr="002934D0">
        <w:rPr>
          <w:rFonts w:ascii="Times New Roman" w:eastAsia="MS Mincho" w:hAnsi="Times New Roman"/>
          <w:sz w:val="24"/>
          <w:szCs w:val="24"/>
          <w:lang w:eastAsia="ja-JP"/>
        </w:rPr>
        <w:t>Ruhsatland</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rma sonras</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 xml:space="preserve"> </w:t>
      </w:r>
      <w:r w:rsidRPr="002934D0">
        <w:rPr>
          <w:rFonts w:ascii="Times New Roman" w:eastAsia="MS Mincho" w:hAnsi="Times New Roman" w:hint="eastAsia"/>
          <w:sz w:val="24"/>
          <w:szCs w:val="24"/>
          <w:lang w:eastAsia="ja-JP"/>
        </w:rPr>
        <w:t>ş</w:t>
      </w:r>
      <w:r w:rsidRPr="002934D0">
        <w:rPr>
          <w:rFonts w:ascii="Times New Roman" w:eastAsia="MS Mincho" w:hAnsi="Times New Roman"/>
          <w:sz w:val="24"/>
          <w:szCs w:val="24"/>
          <w:lang w:eastAsia="ja-JP"/>
        </w:rPr>
        <w:t xml:space="preserve">üpheli ilaç </w:t>
      </w:r>
      <w:proofErr w:type="spellStart"/>
      <w:r w:rsidRPr="002934D0">
        <w:rPr>
          <w:rFonts w:ascii="Times New Roman" w:eastAsia="MS Mincho" w:hAnsi="Times New Roman"/>
          <w:sz w:val="24"/>
          <w:szCs w:val="24"/>
          <w:lang w:eastAsia="ja-JP"/>
        </w:rPr>
        <w:t>advers</w:t>
      </w:r>
      <w:proofErr w:type="spellEnd"/>
      <w:r w:rsidRPr="002934D0">
        <w:rPr>
          <w:rFonts w:ascii="Times New Roman" w:eastAsia="MS Mincho" w:hAnsi="Times New Roman"/>
          <w:sz w:val="24"/>
          <w:szCs w:val="24"/>
          <w:lang w:eastAsia="ja-JP"/>
        </w:rPr>
        <w:t xml:space="preserve"> reaksiyonlar</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n</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n raporlanmas</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 xml:space="preserve"> büyük önem ta</w:t>
      </w:r>
      <w:r w:rsidRPr="002934D0">
        <w:rPr>
          <w:rFonts w:ascii="Times New Roman" w:eastAsia="MS Mincho" w:hAnsi="Times New Roman" w:hint="eastAsia"/>
          <w:sz w:val="24"/>
          <w:szCs w:val="24"/>
          <w:lang w:eastAsia="ja-JP"/>
        </w:rPr>
        <w:t>şı</w:t>
      </w:r>
      <w:r w:rsidRPr="002934D0">
        <w:rPr>
          <w:rFonts w:ascii="Times New Roman" w:eastAsia="MS Mincho" w:hAnsi="Times New Roman"/>
          <w:sz w:val="24"/>
          <w:szCs w:val="24"/>
          <w:lang w:eastAsia="ja-JP"/>
        </w:rPr>
        <w:t>maktad</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r. Raporlama yap</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lmas</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 ilac</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n yarar / risk dengesinin sürekli olarak izlenmesine olanak sa</w:t>
      </w:r>
      <w:r w:rsidRPr="002934D0">
        <w:rPr>
          <w:rFonts w:ascii="Times New Roman" w:eastAsia="MS Mincho" w:hAnsi="Times New Roman" w:hint="eastAsia"/>
          <w:sz w:val="24"/>
          <w:szCs w:val="24"/>
          <w:lang w:eastAsia="ja-JP"/>
        </w:rPr>
        <w:t>ğ</w:t>
      </w:r>
      <w:r w:rsidRPr="002934D0">
        <w:rPr>
          <w:rFonts w:ascii="Times New Roman" w:eastAsia="MS Mincho" w:hAnsi="Times New Roman"/>
          <w:sz w:val="24"/>
          <w:szCs w:val="24"/>
          <w:lang w:eastAsia="ja-JP"/>
        </w:rPr>
        <w:t>lar. Sa</w:t>
      </w:r>
      <w:r w:rsidRPr="002934D0">
        <w:rPr>
          <w:rFonts w:ascii="Times New Roman" w:eastAsia="MS Mincho" w:hAnsi="Times New Roman" w:hint="eastAsia"/>
          <w:sz w:val="24"/>
          <w:szCs w:val="24"/>
          <w:lang w:eastAsia="ja-JP"/>
        </w:rPr>
        <w:t>ğ</w:t>
      </w:r>
      <w:r w:rsidRPr="002934D0">
        <w:rPr>
          <w:rFonts w:ascii="Times New Roman" w:eastAsia="MS Mincho" w:hAnsi="Times New Roman"/>
          <w:sz w:val="24"/>
          <w:szCs w:val="24"/>
          <w:lang w:eastAsia="ja-JP"/>
        </w:rPr>
        <w:t>l</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k mesle</w:t>
      </w:r>
      <w:r w:rsidRPr="002934D0">
        <w:rPr>
          <w:rFonts w:ascii="Times New Roman" w:eastAsia="MS Mincho" w:hAnsi="Times New Roman" w:hint="eastAsia"/>
          <w:sz w:val="24"/>
          <w:szCs w:val="24"/>
          <w:lang w:eastAsia="ja-JP"/>
        </w:rPr>
        <w:t>ğ</w:t>
      </w:r>
      <w:r w:rsidRPr="002934D0">
        <w:rPr>
          <w:rFonts w:ascii="Times New Roman" w:eastAsia="MS Mincho" w:hAnsi="Times New Roman"/>
          <w:sz w:val="24"/>
          <w:szCs w:val="24"/>
          <w:lang w:eastAsia="ja-JP"/>
        </w:rPr>
        <w:t>i mensuplar</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n</w:t>
      </w:r>
      <w:r w:rsidRPr="002934D0">
        <w:rPr>
          <w:rFonts w:ascii="Times New Roman" w:eastAsia="MS Mincho" w:hAnsi="Times New Roman" w:hint="eastAsia"/>
          <w:sz w:val="24"/>
          <w:szCs w:val="24"/>
          <w:lang w:eastAsia="ja-JP"/>
        </w:rPr>
        <w:t>ı</w:t>
      </w:r>
      <w:r w:rsidRPr="002934D0">
        <w:rPr>
          <w:rFonts w:ascii="Times New Roman" w:eastAsia="MS Mincho" w:hAnsi="Times New Roman"/>
          <w:sz w:val="24"/>
          <w:szCs w:val="24"/>
          <w:lang w:eastAsia="ja-JP"/>
        </w:rPr>
        <w:t xml:space="preserve">n herhangi bir </w:t>
      </w:r>
      <w:r w:rsidRPr="002934D0">
        <w:rPr>
          <w:rFonts w:ascii="Times New Roman" w:eastAsia="MS Mincho" w:hAnsi="Times New Roman" w:hint="eastAsia"/>
          <w:sz w:val="24"/>
          <w:szCs w:val="24"/>
          <w:lang w:eastAsia="ja-JP"/>
        </w:rPr>
        <w:t>şü</w:t>
      </w:r>
      <w:r w:rsidRPr="002934D0">
        <w:rPr>
          <w:rFonts w:ascii="Times New Roman" w:eastAsia="MS Mincho" w:hAnsi="Times New Roman"/>
          <w:sz w:val="24"/>
          <w:szCs w:val="24"/>
          <w:lang w:eastAsia="ja-JP"/>
        </w:rPr>
        <w:t xml:space="preserve">pheli </w:t>
      </w:r>
      <w:proofErr w:type="spellStart"/>
      <w:r w:rsidRPr="002934D0">
        <w:rPr>
          <w:rFonts w:ascii="Times New Roman" w:eastAsia="MS Mincho" w:hAnsi="Times New Roman"/>
          <w:sz w:val="24"/>
          <w:szCs w:val="24"/>
          <w:lang w:eastAsia="ja-JP"/>
        </w:rPr>
        <w:t>advers</w:t>
      </w:r>
      <w:proofErr w:type="spellEnd"/>
      <w:r w:rsidRPr="002934D0">
        <w:rPr>
          <w:rFonts w:ascii="Times New Roman" w:eastAsia="MS Mincho" w:hAnsi="Times New Roman"/>
          <w:sz w:val="24"/>
          <w:szCs w:val="24"/>
          <w:lang w:eastAsia="ja-JP"/>
        </w:rPr>
        <w:t xml:space="preserve"> reaksiyonu Türkiye </w:t>
      </w:r>
      <w:proofErr w:type="spellStart"/>
      <w:r w:rsidRPr="002934D0">
        <w:rPr>
          <w:rFonts w:ascii="Times New Roman" w:eastAsia="MS Mincho" w:hAnsi="Times New Roman"/>
          <w:sz w:val="24"/>
          <w:szCs w:val="24"/>
          <w:lang w:eastAsia="ja-JP"/>
        </w:rPr>
        <w:t>Farmakovijilans</w:t>
      </w:r>
      <w:proofErr w:type="spellEnd"/>
      <w:r w:rsidRPr="002934D0">
        <w:rPr>
          <w:rFonts w:ascii="Times New Roman" w:eastAsia="MS Mincho" w:hAnsi="Times New Roman"/>
          <w:sz w:val="24"/>
          <w:szCs w:val="24"/>
          <w:lang w:eastAsia="ja-JP"/>
        </w:rPr>
        <w:t xml:space="preserve"> Merkezi (TÜFAM)'ne bildirmeleri gerekmektedir. (www.</w:t>
      </w:r>
      <w:proofErr w:type="spellStart"/>
      <w:r w:rsidRPr="002934D0">
        <w:rPr>
          <w:rFonts w:ascii="Times New Roman" w:eastAsia="MS Mincho" w:hAnsi="Times New Roman"/>
          <w:sz w:val="24"/>
          <w:szCs w:val="24"/>
          <w:lang w:eastAsia="ja-JP"/>
        </w:rPr>
        <w:t>titck</w:t>
      </w:r>
      <w:proofErr w:type="spellEnd"/>
      <w:r w:rsidRPr="002934D0">
        <w:rPr>
          <w:rFonts w:ascii="Times New Roman" w:eastAsia="MS Mincho" w:hAnsi="Times New Roman"/>
          <w:sz w:val="24"/>
          <w:szCs w:val="24"/>
          <w:lang w:eastAsia="ja-JP"/>
        </w:rPr>
        <w:t xml:space="preserve">.gov.tr; e-posta: </w:t>
      </w:r>
      <w:proofErr w:type="spellStart"/>
      <w:r w:rsidRPr="002934D0">
        <w:rPr>
          <w:rFonts w:ascii="Times New Roman" w:eastAsia="MS Mincho" w:hAnsi="Times New Roman"/>
          <w:sz w:val="24"/>
          <w:szCs w:val="24"/>
          <w:lang w:eastAsia="ja-JP"/>
        </w:rPr>
        <w:t>tufam</w:t>
      </w:r>
      <w:proofErr w:type="spellEnd"/>
      <w:r w:rsidRPr="002934D0">
        <w:rPr>
          <w:rFonts w:ascii="Times New Roman" w:eastAsia="MS Mincho" w:hAnsi="Times New Roman"/>
          <w:sz w:val="24"/>
          <w:szCs w:val="24"/>
          <w:lang w:eastAsia="ja-JP"/>
        </w:rPr>
        <w:t>@</w:t>
      </w:r>
      <w:proofErr w:type="spellStart"/>
      <w:r w:rsidRPr="002934D0">
        <w:rPr>
          <w:rFonts w:ascii="Times New Roman" w:eastAsia="MS Mincho" w:hAnsi="Times New Roman"/>
          <w:sz w:val="24"/>
          <w:szCs w:val="24"/>
          <w:lang w:eastAsia="ja-JP"/>
        </w:rPr>
        <w:t>titck</w:t>
      </w:r>
      <w:proofErr w:type="spellEnd"/>
      <w:r w:rsidRPr="002934D0">
        <w:rPr>
          <w:rFonts w:ascii="Times New Roman" w:eastAsia="MS Mincho" w:hAnsi="Times New Roman"/>
          <w:sz w:val="24"/>
          <w:szCs w:val="24"/>
          <w:lang w:eastAsia="ja-JP"/>
        </w:rPr>
        <w:t xml:space="preserve">.gov.tr; tel: 0800 314 0008; faks: </w:t>
      </w:r>
      <w:proofErr w:type="gramStart"/>
      <w:r w:rsidRPr="002934D0">
        <w:rPr>
          <w:rFonts w:ascii="Times New Roman" w:eastAsia="MS Mincho" w:hAnsi="Times New Roman"/>
          <w:sz w:val="24"/>
          <w:szCs w:val="24"/>
          <w:lang w:eastAsia="ja-JP"/>
        </w:rPr>
        <w:t>03122183599</w:t>
      </w:r>
      <w:proofErr w:type="gramEnd"/>
      <w:r w:rsidRPr="002934D0">
        <w:rPr>
          <w:rFonts w:ascii="Times New Roman" w:eastAsia="MS Mincho" w:hAnsi="Times New Roman"/>
          <w:sz w:val="24"/>
          <w:szCs w:val="24"/>
          <w:lang w:eastAsia="ja-JP"/>
        </w:rPr>
        <w:t>)</w:t>
      </w:r>
    </w:p>
    <w:p w:rsidR="00910CFB" w:rsidRPr="002934D0" w:rsidRDefault="00910CFB" w:rsidP="0031412B">
      <w:pPr>
        <w:spacing w:after="0"/>
        <w:jc w:val="both"/>
        <w:rPr>
          <w:rFonts w:ascii="Times New Roman" w:hAnsi="Times New Roman" w:cs="Times New Roman"/>
          <w:sz w:val="24"/>
          <w:szCs w:val="24"/>
        </w:rPr>
      </w:pPr>
    </w:p>
    <w:p w:rsidR="00BE6FEB" w:rsidRPr="002934D0" w:rsidRDefault="00BE6FEB"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Doz aşımı ve tedavisi</w:t>
      </w:r>
    </w:p>
    <w:p w:rsidR="007C1E6E" w:rsidRPr="002934D0" w:rsidRDefault="007C1E6E" w:rsidP="0031412B">
      <w:pPr>
        <w:pStyle w:val="Default"/>
        <w:spacing w:line="276" w:lineRule="auto"/>
        <w:jc w:val="both"/>
        <w:rPr>
          <w:color w:val="auto"/>
        </w:rPr>
      </w:pPr>
      <w:r w:rsidRPr="002934D0">
        <w:rPr>
          <w:color w:val="auto"/>
        </w:rPr>
        <w:t xml:space="preserve">Belirtiler: </w:t>
      </w:r>
    </w:p>
    <w:p w:rsidR="007C1E6E" w:rsidRPr="002934D0" w:rsidRDefault="007C1E6E" w:rsidP="0031412B">
      <w:pPr>
        <w:pStyle w:val="Default"/>
        <w:spacing w:line="276" w:lineRule="auto"/>
        <w:jc w:val="both"/>
        <w:rPr>
          <w:color w:val="auto"/>
        </w:rPr>
      </w:pPr>
      <w:r w:rsidRPr="002934D0">
        <w:rPr>
          <w:color w:val="auto"/>
        </w:rPr>
        <w:t xml:space="preserve">Hayvanlarda yapılan toksisite çalışmalarına göre </w:t>
      </w:r>
      <w:r w:rsidR="001C0108" w:rsidRPr="002934D0">
        <w:rPr>
          <w:color w:val="auto"/>
        </w:rPr>
        <w:t xml:space="preserve">FLOXİLEVO ‘nun </w:t>
      </w:r>
      <w:r w:rsidRPr="002934D0">
        <w:rPr>
          <w:color w:val="auto"/>
        </w:rPr>
        <w:t xml:space="preserve">akut aşırı dozu durumunda beklenmesi gereken en önemli işaretler konfüzyon, sersemlik, bilinç bozukluğu ve konvülsif nöbetlerdir. Konfüzyon durumu, konvülsiyon, </w:t>
      </w:r>
      <w:proofErr w:type="gramStart"/>
      <w:r w:rsidRPr="002934D0">
        <w:rPr>
          <w:color w:val="auto"/>
        </w:rPr>
        <w:t>halüsinasyon</w:t>
      </w:r>
      <w:proofErr w:type="gramEnd"/>
      <w:r w:rsidRPr="002934D0">
        <w:rPr>
          <w:color w:val="auto"/>
        </w:rPr>
        <w:t xml:space="preserve"> ve tremoru da içeren merkezi sinir sistemi etkileri pazarlama sonrası deneyimlerde gözlenmiştir. Gastrointestinal sistemle ilgili reaksiyonlar bulantı ve mukoza erezyonlarıdır. </w:t>
      </w:r>
    </w:p>
    <w:p w:rsidR="007C1E6E" w:rsidRPr="002934D0" w:rsidRDefault="007C1E6E" w:rsidP="0031412B">
      <w:pPr>
        <w:pStyle w:val="Default"/>
        <w:spacing w:line="276" w:lineRule="auto"/>
        <w:jc w:val="both"/>
        <w:rPr>
          <w:color w:val="auto"/>
        </w:rPr>
      </w:pPr>
      <w:r w:rsidRPr="002934D0">
        <w:rPr>
          <w:color w:val="auto"/>
        </w:rPr>
        <w:t xml:space="preserve">Supra terapötik dozlarla yapılan klinik </w:t>
      </w:r>
      <w:proofErr w:type="gramStart"/>
      <w:r w:rsidRPr="002934D0">
        <w:rPr>
          <w:color w:val="auto"/>
        </w:rPr>
        <w:t>farmakoloji</w:t>
      </w:r>
      <w:proofErr w:type="gramEnd"/>
      <w:r w:rsidRPr="002934D0">
        <w:rPr>
          <w:color w:val="auto"/>
        </w:rPr>
        <w:t xml:space="preserve"> çalışmalarında QT aralığında uzama görülmüştür. </w:t>
      </w:r>
    </w:p>
    <w:p w:rsidR="001C0108" w:rsidRPr="002934D0" w:rsidRDefault="001C0108" w:rsidP="0031412B">
      <w:pPr>
        <w:spacing w:after="0"/>
        <w:jc w:val="both"/>
        <w:rPr>
          <w:rFonts w:ascii="Times New Roman" w:hAnsi="Times New Roman" w:cs="Times New Roman"/>
          <w:sz w:val="24"/>
          <w:szCs w:val="24"/>
        </w:rPr>
      </w:pPr>
    </w:p>
    <w:p w:rsidR="00616E59" w:rsidRPr="002934D0" w:rsidRDefault="007C1E6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Tedavi:</w:t>
      </w:r>
    </w:p>
    <w:p w:rsidR="007C1E6E" w:rsidRPr="002934D0" w:rsidRDefault="007C1E6E" w:rsidP="0031412B">
      <w:pPr>
        <w:pStyle w:val="Default"/>
        <w:spacing w:line="276" w:lineRule="auto"/>
        <w:jc w:val="both"/>
        <w:rPr>
          <w:color w:val="auto"/>
        </w:rPr>
      </w:pPr>
      <w:r w:rsidRPr="002934D0">
        <w:rPr>
          <w:color w:val="auto"/>
        </w:rPr>
        <w:t xml:space="preserve">Aşırı doz durumunda hasta dikkatle izlenmeli, QT aralığında uzama ihtimali olduğundan EKG takibi yapılmalı ve semptomatik tedavi uygulanmalıdır. Mide mukozasının korunması için antasidler uygulanabilir. </w:t>
      </w:r>
    </w:p>
    <w:p w:rsidR="007C1E6E" w:rsidRPr="002934D0" w:rsidRDefault="007C1E6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Hemodiyaliz, peritoneal diyaliz veya sürekli ambulatuvar peritoneal diyaliz, levofloksasinin vücuttan uzaklaştırılmasında etkili değildir. Spesifik bir antidotu yoktur.</w:t>
      </w:r>
    </w:p>
    <w:p w:rsidR="001C0108" w:rsidRPr="002934D0" w:rsidRDefault="001C0108" w:rsidP="0031412B">
      <w:pPr>
        <w:spacing w:after="0"/>
        <w:jc w:val="both"/>
        <w:rPr>
          <w:rFonts w:ascii="Times New Roman" w:hAnsi="Times New Roman" w:cs="Times New Roman"/>
          <w:sz w:val="24"/>
          <w:szCs w:val="24"/>
        </w:rPr>
      </w:pPr>
    </w:p>
    <w:p w:rsidR="00C93104" w:rsidRPr="002934D0" w:rsidRDefault="00C93104" w:rsidP="0031412B">
      <w:pPr>
        <w:pStyle w:val="ListeParagraf"/>
        <w:numPr>
          <w:ilvl w:val="0"/>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FARMAKOLOJİK ÖZELLİKLER</w:t>
      </w:r>
    </w:p>
    <w:p w:rsidR="00616E59" w:rsidRPr="002934D0" w:rsidRDefault="00616E59"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Farmakodinamik özellikler</w:t>
      </w:r>
    </w:p>
    <w:p w:rsidR="001C0108" w:rsidRPr="002934D0" w:rsidRDefault="001C0108" w:rsidP="0031412B">
      <w:pPr>
        <w:pStyle w:val="Default"/>
        <w:spacing w:line="276" w:lineRule="auto"/>
        <w:jc w:val="both"/>
        <w:rPr>
          <w:color w:val="auto"/>
        </w:rPr>
      </w:pPr>
      <w:r w:rsidRPr="002934D0">
        <w:rPr>
          <w:color w:val="auto"/>
        </w:rPr>
        <w:t xml:space="preserve">Farmakoterapötik grup: Kinolon antibakteriyeller, florokinolonlar </w:t>
      </w:r>
    </w:p>
    <w:p w:rsidR="001C0108" w:rsidRPr="002934D0" w:rsidRDefault="001C0108" w:rsidP="0031412B">
      <w:pPr>
        <w:pStyle w:val="Default"/>
        <w:spacing w:line="276" w:lineRule="auto"/>
        <w:jc w:val="both"/>
        <w:rPr>
          <w:color w:val="auto"/>
        </w:rPr>
      </w:pPr>
      <w:r w:rsidRPr="002934D0">
        <w:rPr>
          <w:color w:val="auto"/>
        </w:rPr>
        <w:t xml:space="preserve">ATC Kodu: J01MA </w:t>
      </w:r>
    </w:p>
    <w:p w:rsidR="001C0108" w:rsidRPr="002934D0" w:rsidRDefault="001C0108" w:rsidP="0031412B">
      <w:pPr>
        <w:pStyle w:val="Default"/>
        <w:spacing w:line="276" w:lineRule="auto"/>
        <w:jc w:val="both"/>
        <w:rPr>
          <w:color w:val="auto"/>
        </w:rPr>
      </w:pPr>
      <w:r w:rsidRPr="002934D0">
        <w:rPr>
          <w:color w:val="auto"/>
        </w:rPr>
        <w:t xml:space="preserve">Levofloksasin florokinolon sınıfından sentetik bir antibakteriyel ilaçtır. Rasemik ilaç maddesi olan ofloksasin’in, (s) – enantiomeridir. </w:t>
      </w:r>
    </w:p>
    <w:p w:rsidR="001C0108" w:rsidRPr="002934D0" w:rsidRDefault="001C0108" w:rsidP="0031412B">
      <w:pPr>
        <w:pStyle w:val="Default"/>
        <w:spacing w:line="276" w:lineRule="auto"/>
        <w:jc w:val="both"/>
        <w:rPr>
          <w:color w:val="auto"/>
        </w:rPr>
      </w:pPr>
    </w:p>
    <w:p w:rsidR="001C0108" w:rsidRPr="002934D0" w:rsidRDefault="001C0108" w:rsidP="0031412B">
      <w:pPr>
        <w:pStyle w:val="Default"/>
        <w:spacing w:line="276" w:lineRule="auto"/>
        <w:jc w:val="both"/>
        <w:rPr>
          <w:color w:val="auto"/>
        </w:rPr>
      </w:pPr>
      <w:r w:rsidRPr="002934D0">
        <w:rPr>
          <w:color w:val="auto"/>
        </w:rPr>
        <w:t xml:space="preserve">Etki mekanizması </w:t>
      </w:r>
    </w:p>
    <w:p w:rsidR="001C0108" w:rsidRPr="002934D0" w:rsidRDefault="001C0108" w:rsidP="0031412B">
      <w:pPr>
        <w:pStyle w:val="Default"/>
        <w:spacing w:line="276" w:lineRule="auto"/>
        <w:jc w:val="both"/>
        <w:rPr>
          <w:color w:val="auto"/>
        </w:rPr>
      </w:pPr>
      <w:r w:rsidRPr="002934D0">
        <w:rPr>
          <w:color w:val="auto"/>
        </w:rPr>
        <w:t xml:space="preserve">Bir florokinolon antibakteriyel ilaç olarak levofloksasin, DNA giraz </w:t>
      </w:r>
      <w:proofErr w:type="gramStart"/>
      <w:r w:rsidRPr="002934D0">
        <w:rPr>
          <w:color w:val="auto"/>
        </w:rPr>
        <w:t>kompleksi</w:t>
      </w:r>
      <w:proofErr w:type="gramEnd"/>
      <w:r w:rsidRPr="002934D0">
        <w:rPr>
          <w:color w:val="auto"/>
        </w:rPr>
        <w:t xml:space="preserve"> ve topoizomeraz IV üzerine etki yapar. </w:t>
      </w:r>
    </w:p>
    <w:p w:rsidR="001C0108" w:rsidRPr="002934D0" w:rsidRDefault="001C0108" w:rsidP="0031412B">
      <w:pPr>
        <w:pStyle w:val="Default"/>
        <w:spacing w:line="276" w:lineRule="auto"/>
        <w:jc w:val="both"/>
        <w:rPr>
          <w:color w:val="auto"/>
        </w:rPr>
      </w:pPr>
    </w:p>
    <w:p w:rsidR="00960707" w:rsidRPr="002934D0" w:rsidRDefault="00960707" w:rsidP="0031412B">
      <w:pPr>
        <w:pStyle w:val="Default"/>
        <w:spacing w:line="276" w:lineRule="auto"/>
        <w:jc w:val="both"/>
        <w:rPr>
          <w:color w:val="auto"/>
        </w:rPr>
      </w:pPr>
    </w:p>
    <w:p w:rsidR="001C0108" w:rsidRPr="002934D0" w:rsidRDefault="001C0108" w:rsidP="0031412B">
      <w:pPr>
        <w:pStyle w:val="Default"/>
        <w:spacing w:line="276" w:lineRule="auto"/>
        <w:jc w:val="both"/>
        <w:rPr>
          <w:color w:val="auto"/>
        </w:rPr>
      </w:pPr>
      <w:r w:rsidRPr="002934D0">
        <w:rPr>
          <w:color w:val="auto"/>
        </w:rPr>
        <w:lastRenderedPageBreak/>
        <w:t xml:space="preserve">Antibakteriyel spektrumu </w:t>
      </w:r>
    </w:p>
    <w:p w:rsidR="001C0108" w:rsidRPr="002934D0" w:rsidRDefault="001C0108" w:rsidP="0031412B">
      <w:pPr>
        <w:pStyle w:val="Default"/>
        <w:spacing w:line="276" w:lineRule="auto"/>
        <w:jc w:val="both"/>
        <w:rPr>
          <w:color w:val="auto"/>
        </w:rPr>
      </w:pPr>
      <w:r w:rsidRPr="002934D0">
        <w:rPr>
          <w:color w:val="auto"/>
        </w:rPr>
        <w:t xml:space="preserve">Direnç oranları coğrafik olarak ve seçilen suş için zamana bağlı olarak değişebilir ve direnç paternleri için </w:t>
      </w:r>
      <w:proofErr w:type="gramStart"/>
      <w:r w:rsidRPr="002934D0">
        <w:rPr>
          <w:color w:val="auto"/>
        </w:rPr>
        <w:t>lokal</w:t>
      </w:r>
      <w:proofErr w:type="gramEnd"/>
      <w:r w:rsidRPr="002934D0">
        <w:rPr>
          <w:color w:val="auto"/>
        </w:rPr>
        <w:t xml:space="preserve"> bilgiler, özellikle şiddetli enfeksiyonların tedavisinde göz önünde bulundurulmalıdır. </w:t>
      </w:r>
    </w:p>
    <w:p w:rsidR="001C0108" w:rsidRPr="002934D0" w:rsidRDefault="001C0108" w:rsidP="0031412B">
      <w:pPr>
        <w:pStyle w:val="Default"/>
        <w:spacing w:line="276" w:lineRule="auto"/>
        <w:jc w:val="both"/>
        <w:rPr>
          <w:i/>
          <w:iCs/>
          <w:color w:val="auto"/>
        </w:rPr>
      </w:pPr>
    </w:p>
    <w:p w:rsidR="001C0108" w:rsidRPr="002934D0" w:rsidRDefault="001C0108" w:rsidP="0031412B">
      <w:pPr>
        <w:pStyle w:val="Default"/>
        <w:spacing w:line="276" w:lineRule="auto"/>
        <w:jc w:val="both"/>
        <w:rPr>
          <w:color w:val="auto"/>
        </w:rPr>
      </w:pPr>
      <w:r w:rsidRPr="002934D0">
        <w:rPr>
          <w:i/>
          <w:iCs/>
          <w:color w:val="auto"/>
        </w:rPr>
        <w:t xml:space="preserve">In vitro </w:t>
      </w:r>
      <w:r w:rsidRPr="002934D0">
        <w:rPr>
          <w:color w:val="auto"/>
        </w:rPr>
        <w:t xml:space="preserve">olarak levofloksasinin aşağıda belirtilen patojenlere etkin olduğu gösterilmiştir: </w:t>
      </w:r>
    </w:p>
    <w:p w:rsidR="001C0108" w:rsidRPr="002934D0" w:rsidRDefault="001C0108" w:rsidP="0031412B">
      <w:pPr>
        <w:pStyle w:val="Default"/>
        <w:spacing w:line="276" w:lineRule="auto"/>
        <w:jc w:val="both"/>
        <w:rPr>
          <w:b/>
          <w:bCs/>
          <w:i/>
          <w:iCs/>
          <w:color w:val="auto"/>
        </w:rPr>
      </w:pPr>
    </w:p>
    <w:p w:rsidR="001C0108" w:rsidRPr="002934D0" w:rsidRDefault="001C0108" w:rsidP="0031412B">
      <w:pPr>
        <w:pStyle w:val="Default"/>
        <w:spacing w:line="276" w:lineRule="auto"/>
        <w:jc w:val="both"/>
        <w:rPr>
          <w:color w:val="auto"/>
        </w:rPr>
      </w:pPr>
      <w:r w:rsidRPr="002934D0">
        <w:rPr>
          <w:b/>
          <w:bCs/>
          <w:i/>
          <w:iCs/>
          <w:color w:val="auto"/>
        </w:rPr>
        <w:t xml:space="preserve">Gram-pozitif aerob: </w:t>
      </w:r>
      <w:r w:rsidRPr="002934D0">
        <w:rPr>
          <w:i/>
          <w:iCs/>
          <w:color w:val="auto"/>
        </w:rPr>
        <w:t xml:space="preserve">Bacillus </w:t>
      </w:r>
      <w:proofErr w:type="gramStart"/>
      <w:r w:rsidRPr="002934D0">
        <w:rPr>
          <w:i/>
          <w:iCs/>
          <w:color w:val="auto"/>
        </w:rPr>
        <w:t>anthracis,Corynebacterium</w:t>
      </w:r>
      <w:proofErr w:type="gramEnd"/>
      <w:r w:rsidRPr="002934D0">
        <w:rPr>
          <w:i/>
          <w:iCs/>
          <w:color w:val="auto"/>
        </w:rPr>
        <w:t xml:space="preserve"> diphtheriae</w:t>
      </w:r>
      <w:r w:rsidRPr="002934D0">
        <w:rPr>
          <w:color w:val="auto"/>
        </w:rPr>
        <w:t xml:space="preserve">, </w:t>
      </w:r>
      <w:r w:rsidRPr="002934D0">
        <w:rPr>
          <w:i/>
          <w:iCs/>
          <w:color w:val="auto"/>
        </w:rPr>
        <w:t xml:space="preserve">Enterococcus faecalis*, Enterecoccus </w:t>
      </w:r>
      <w:r w:rsidRPr="002934D0">
        <w:rPr>
          <w:color w:val="auto"/>
        </w:rPr>
        <w:t>spp</w:t>
      </w:r>
      <w:r w:rsidRPr="002934D0">
        <w:rPr>
          <w:i/>
          <w:iCs/>
          <w:color w:val="auto"/>
        </w:rPr>
        <w:t xml:space="preserve">, Listeria monocytogenes, </w:t>
      </w:r>
      <w:r w:rsidRPr="002934D0">
        <w:rPr>
          <w:color w:val="auto"/>
        </w:rPr>
        <w:t xml:space="preserve">Koagülaz negatif stafilokoklar (metisiline duyarlı), </w:t>
      </w:r>
      <w:r w:rsidRPr="002934D0">
        <w:rPr>
          <w:i/>
          <w:iCs/>
          <w:color w:val="auto"/>
        </w:rPr>
        <w:t xml:space="preserve">Staphylococcus aureus </w:t>
      </w:r>
      <w:r w:rsidRPr="002934D0">
        <w:rPr>
          <w:color w:val="auto"/>
        </w:rPr>
        <w:t xml:space="preserve">(metisiline duyarlı)*, </w:t>
      </w:r>
      <w:r w:rsidRPr="002934D0">
        <w:rPr>
          <w:i/>
          <w:iCs/>
          <w:color w:val="auto"/>
        </w:rPr>
        <w:t xml:space="preserve">Staphylococcus epidermidis </w:t>
      </w:r>
      <w:r w:rsidRPr="002934D0">
        <w:rPr>
          <w:color w:val="auto"/>
        </w:rPr>
        <w:t>(metisiline duyarlı)</w:t>
      </w:r>
      <w:r w:rsidRPr="002934D0">
        <w:rPr>
          <w:i/>
          <w:iCs/>
          <w:color w:val="auto"/>
        </w:rPr>
        <w:t xml:space="preserve">, Staphylococcus saprophyticus, </w:t>
      </w:r>
      <w:r w:rsidRPr="002934D0">
        <w:rPr>
          <w:color w:val="auto"/>
        </w:rPr>
        <w:t xml:space="preserve">C ve G grubu streptokoklar, </w:t>
      </w:r>
      <w:r w:rsidRPr="002934D0">
        <w:rPr>
          <w:i/>
          <w:iCs/>
          <w:color w:val="auto"/>
        </w:rPr>
        <w:t xml:space="preserve">Streptococcus agalactiae, Streptococcus pneumoniae </w:t>
      </w:r>
      <w:r w:rsidRPr="002934D0">
        <w:rPr>
          <w:color w:val="auto"/>
        </w:rPr>
        <w:t>(penisiline duyarlı/orta düzeyde dirençli/dirençli)*</w:t>
      </w:r>
      <w:r w:rsidRPr="002934D0">
        <w:rPr>
          <w:i/>
          <w:iCs/>
          <w:color w:val="auto"/>
        </w:rPr>
        <w:t>, Streptococcus pyogenes*</w:t>
      </w:r>
      <w:r w:rsidRPr="002934D0">
        <w:rPr>
          <w:b/>
          <w:bCs/>
          <w:color w:val="auto"/>
        </w:rPr>
        <w:t xml:space="preserve">, </w:t>
      </w:r>
      <w:r w:rsidRPr="002934D0">
        <w:rPr>
          <w:color w:val="auto"/>
        </w:rPr>
        <w:t xml:space="preserve">Viridans streptokoklar (penisiline dirençli/duyarlı) </w:t>
      </w:r>
    </w:p>
    <w:p w:rsidR="001C0108" w:rsidRPr="002934D0" w:rsidRDefault="001C0108" w:rsidP="0031412B">
      <w:pPr>
        <w:pStyle w:val="Default"/>
        <w:spacing w:line="276" w:lineRule="auto"/>
        <w:jc w:val="both"/>
        <w:rPr>
          <w:b/>
          <w:bCs/>
          <w:i/>
          <w:iCs/>
          <w:color w:val="auto"/>
        </w:rPr>
      </w:pPr>
    </w:p>
    <w:p w:rsidR="001C0108" w:rsidRPr="002934D0" w:rsidRDefault="001C0108" w:rsidP="0031412B">
      <w:pPr>
        <w:pStyle w:val="Default"/>
        <w:spacing w:line="276" w:lineRule="auto"/>
        <w:jc w:val="both"/>
        <w:rPr>
          <w:color w:val="auto"/>
        </w:rPr>
      </w:pPr>
      <w:proofErr w:type="gramStart"/>
      <w:r w:rsidRPr="002934D0">
        <w:rPr>
          <w:b/>
          <w:bCs/>
          <w:i/>
          <w:iCs/>
          <w:color w:val="auto"/>
        </w:rPr>
        <w:t xml:space="preserve">Gram-negatif aerob: </w:t>
      </w:r>
      <w:r w:rsidRPr="002934D0">
        <w:rPr>
          <w:i/>
          <w:iCs/>
          <w:color w:val="auto"/>
        </w:rPr>
        <w:t xml:space="preserve">Acinetobacter baumannii, Acinetobacter </w:t>
      </w:r>
      <w:r w:rsidRPr="002934D0">
        <w:rPr>
          <w:color w:val="auto"/>
        </w:rPr>
        <w:t>spp</w:t>
      </w:r>
      <w:r w:rsidRPr="002934D0">
        <w:rPr>
          <w:i/>
          <w:iCs/>
          <w:color w:val="auto"/>
        </w:rPr>
        <w:t>, Actinobaccillus actinomycetemcomitans, Citrobacter freundii*</w:t>
      </w:r>
      <w:r w:rsidRPr="002934D0">
        <w:rPr>
          <w:color w:val="auto"/>
        </w:rPr>
        <w:t xml:space="preserve">, </w:t>
      </w:r>
      <w:r w:rsidRPr="002934D0">
        <w:rPr>
          <w:i/>
          <w:iCs/>
          <w:color w:val="auto"/>
        </w:rPr>
        <w:t>Eikenella corrodens, Enterobacter aerogenes</w:t>
      </w:r>
      <w:r w:rsidRPr="002934D0">
        <w:rPr>
          <w:color w:val="auto"/>
        </w:rPr>
        <w:t xml:space="preserve">, </w:t>
      </w:r>
      <w:r w:rsidRPr="002934D0">
        <w:rPr>
          <w:i/>
          <w:iCs/>
          <w:color w:val="auto"/>
        </w:rPr>
        <w:t>Enterobacter cloacae*</w:t>
      </w:r>
      <w:r w:rsidRPr="002934D0">
        <w:rPr>
          <w:color w:val="auto"/>
        </w:rPr>
        <w:t xml:space="preserve">, </w:t>
      </w:r>
      <w:r w:rsidRPr="002934D0">
        <w:rPr>
          <w:i/>
          <w:iCs/>
          <w:color w:val="auto"/>
        </w:rPr>
        <w:t xml:space="preserve">Enterobacter </w:t>
      </w:r>
      <w:r w:rsidRPr="002934D0">
        <w:rPr>
          <w:color w:val="auto"/>
        </w:rPr>
        <w:t xml:space="preserve">spp, </w:t>
      </w:r>
      <w:r w:rsidRPr="002934D0">
        <w:rPr>
          <w:i/>
          <w:iCs/>
          <w:color w:val="auto"/>
        </w:rPr>
        <w:t xml:space="preserve">Escherichia coli*, Gardnerella vaginalis, Haemophilus ducreyi, Haemophilus influenzae* </w:t>
      </w:r>
      <w:r w:rsidRPr="002934D0">
        <w:rPr>
          <w:color w:val="auto"/>
        </w:rPr>
        <w:t xml:space="preserve">(ampisiline duyarlı/dirençli), </w:t>
      </w:r>
      <w:r w:rsidRPr="002934D0">
        <w:rPr>
          <w:i/>
          <w:iCs/>
          <w:color w:val="auto"/>
        </w:rPr>
        <w:t>Haemophilus parainfluenzae*</w:t>
      </w:r>
      <w:r w:rsidRPr="002934D0">
        <w:rPr>
          <w:color w:val="auto"/>
        </w:rPr>
        <w:t xml:space="preserve">, </w:t>
      </w:r>
      <w:r w:rsidRPr="002934D0">
        <w:rPr>
          <w:i/>
          <w:iCs/>
          <w:color w:val="auto"/>
        </w:rPr>
        <w:t xml:space="preserve">Helicobacter pylori, Klebsiella oxytoca, Klebsiella pneumoniae*, Klebsiella </w:t>
      </w:r>
      <w:r w:rsidRPr="002934D0">
        <w:rPr>
          <w:color w:val="auto"/>
        </w:rPr>
        <w:t>spp</w:t>
      </w:r>
      <w:r w:rsidRPr="002934D0">
        <w:rPr>
          <w:i/>
          <w:iCs/>
          <w:color w:val="auto"/>
        </w:rPr>
        <w:t xml:space="preserve">, Moraxella catarrhalis </w:t>
      </w:r>
      <w:r w:rsidRPr="002934D0">
        <w:rPr>
          <w:color w:val="auto"/>
        </w:rPr>
        <w:t xml:space="preserve">(beta-laktamaz-pozitif /beta-laktamaz-negatif)*, </w:t>
      </w:r>
      <w:r w:rsidRPr="002934D0">
        <w:rPr>
          <w:i/>
          <w:iCs/>
          <w:color w:val="auto"/>
        </w:rPr>
        <w:t xml:space="preserve">Morganella morganii*, Neisseria gonorrhoeae </w:t>
      </w:r>
      <w:r w:rsidRPr="002934D0">
        <w:rPr>
          <w:color w:val="auto"/>
        </w:rPr>
        <w:t xml:space="preserve">(penisilaz üreten/ penisilaz üretmeyen), </w:t>
      </w:r>
      <w:r w:rsidRPr="002934D0">
        <w:rPr>
          <w:i/>
          <w:iCs/>
          <w:color w:val="auto"/>
        </w:rPr>
        <w:t xml:space="preserve">Neisseria meningitidis, Pasteurella canis, Pasteurella dagmatis, Pasteurella multocida, Pasteurella </w:t>
      </w:r>
      <w:r w:rsidRPr="002934D0">
        <w:rPr>
          <w:color w:val="auto"/>
        </w:rPr>
        <w:t xml:space="preserve">spp, </w:t>
      </w:r>
      <w:r w:rsidRPr="002934D0">
        <w:rPr>
          <w:i/>
          <w:iCs/>
          <w:color w:val="auto"/>
        </w:rPr>
        <w:t xml:space="preserve">Proteus mirabilis*, Proteus vulgaris, Providencia rettgeri, Providencia stuartii, Providencia </w:t>
      </w:r>
      <w:r w:rsidRPr="002934D0">
        <w:rPr>
          <w:color w:val="auto"/>
        </w:rPr>
        <w:t>spp</w:t>
      </w:r>
      <w:r w:rsidRPr="002934D0">
        <w:rPr>
          <w:i/>
          <w:iCs/>
          <w:color w:val="auto"/>
        </w:rPr>
        <w:t xml:space="preserve">, Pseudomonas aeruginosa**, Pseudomonas </w:t>
      </w:r>
      <w:r w:rsidRPr="002934D0">
        <w:rPr>
          <w:color w:val="auto"/>
        </w:rPr>
        <w:t xml:space="preserve">spp, </w:t>
      </w:r>
      <w:r w:rsidRPr="002934D0">
        <w:rPr>
          <w:i/>
          <w:iCs/>
          <w:color w:val="auto"/>
        </w:rPr>
        <w:t xml:space="preserve">Salmonella </w:t>
      </w:r>
      <w:r w:rsidRPr="002934D0">
        <w:rPr>
          <w:color w:val="auto"/>
        </w:rPr>
        <w:t xml:space="preserve">spp, </w:t>
      </w:r>
      <w:r w:rsidRPr="002934D0">
        <w:rPr>
          <w:i/>
          <w:iCs/>
          <w:color w:val="auto"/>
        </w:rPr>
        <w:t xml:space="preserve">Serratia marcescens*, Serratia </w:t>
      </w:r>
      <w:r w:rsidRPr="002934D0">
        <w:rPr>
          <w:color w:val="auto"/>
        </w:rPr>
        <w:t xml:space="preserve">spp. </w:t>
      </w:r>
      <w:proofErr w:type="gramEnd"/>
    </w:p>
    <w:p w:rsidR="001C0108" w:rsidRPr="002934D0" w:rsidRDefault="001C0108" w:rsidP="0031412B">
      <w:pPr>
        <w:pStyle w:val="Default"/>
        <w:spacing w:line="276" w:lineRule="auto"/>
        <w:jc w:val="both"/>
        <w:rPr>
          <w:b/>
          <w:bCs/>
          <w:i/>
          <w:iCs/>
          <w:color w:val="auto"/>
        </w:rPr>
      </w:pPr>
    </w:p>
    <w:p w:rsidR="001C0108" w:rsidRPr="002934D0" w:rsidRDefault="001C0108" w:rsidP="0031412B">
      <w:pPr>
        <w:pStyle w:val="Default"/>
        <w:spacing w:line="276" w:lineRule="auto"/>
        <w:jc w:val="both"/>
        <w:rPr>
          <w:color w:val="auto"/>
        </w:rPr>
      </w:pPr>
      <w:r w:rsidRPr="002934D0">
        <w:rPr>
          <w:b/>
          <w:bCs/>
          <w:i/>
          <w:iCs/>
          <w:color w:val="auto"/>
        </w:rPr>
        <w:t xml:space="preserve">Anaerob: </w:t>
      </w:r>
      <w:r w:rsidRPr="002934D0">
        <w:rPr>
          <w:i/>
          <w:iCs/>
          <w:color w:val="auto"/>
        </w:rPr>
        <w:t xml:space="preserve">Bacteroides fragilis, Bifidobacterium </w:t>
      </w:r>
      <w:r w:rsidRPr="002934D0">
        <w:rPr>
          <w:color w:val="auto"/>
        </w:rPr>
        <w:t>spp</w:t>
      </w:r>
      <w:r w:rsidRPr="002934D0">
        <w:rPr>
          <w:i/>
          <w:iCs/>
          <w:color w:val="auto"/>
        </w:rPr>
        <w:t xml:space="preserve">, Clostridium perfringens, Fusobacterium </w:t>
      </w:r>
      <w:r w:rsidRPr="002934D0">
        <w:rPr>
          <w:color w:val="auto"/>
        </w:rPr>
        <w:t>spp</w:t>
      </w:r>
      <w:r w:rsidRPr="002934D0">
        <w:rPr>
          <w:i/>
          <w:iCs/>
          <w:color w:val="auto"/>
        </w:rPr>
        <w:t xml:space="preserve">, Peptostreptococcus, Propionibacterium </w:t>
      </w:r>
      <w:r w:rsidRPr="002934D0">
        <w:rPr>
          <w:color w:val="auto"/>
        </w:rPr>
        <w:t xml:space="preserve">spp, </w:t>
      </w:r>
      <w:r w:rsidRPr="002934D0">
        <w:rPr>
          <w:i/>
          <w:iCs/>
          <w:color w:val="auto"/>
        </w:rPr>
        <w:t xml:space="preserve">Veillonella </w:t>
      </w:r>
      <w:r w:rsidRPr="002934D0">
        <w:rPr>
          <w:color w:val="auto"/>
        </w:rPr>
        <w:t xml:space="preserve">spp </w:t>
      </w:r>
    </w:p>
    <w:p w:rsidR="001C0108" w:rsidRPr="002934D0" w:rsidRDefault="001C0108" w:rsidP="0031412B">
      <w:pPr>
        <w:pStyle w:val="Default"/>
        <w:spacing w:line="276" w:lineRule="auto"/>
        <w:jc w:val="both"/>
        <w:rPr>
          <w:b/>
          <w:bCs/>
          <w:i/>
          <w:iCs/>
          <w:color w:val="auto"/>
        </w:rPr>
      </w:pPr>
    </w:p>
    <w:p w:rsidR="001C0108" w:rsidRPr="002934D0" w:rsidRDefault="001C0108" w:rsidP="0031412B">
      <w:pPr>
        <w:pStyle w:val="Default"/>
        <w:spacing w:line="276" w:lineRule="auto"/>
        <w:jc w:val="both"/>
        <w:rPr>
          <w:color w:val="auto"/>
        </w:rPr>
      </w:pPr>
      <w:r w:rsidRPr="002934D0">
        <w:rPr>
          <w:b/>
          <w:bCs/>
          <w:i/>
          <w:iCs/>
          <w:color w:val="auto"/>
        </w:rPr>
        <w:t xml:space="preserve">Diğer: </w:t>
      </w:r>
      <w:r w:rsidRPr="002934D0">
        <w:rPr>
          <w:color w:val="auto"/>
        </w:rPr>
        <w:t xml:space="preserve">Bartonella spp, </w:t>
      </w:r>
      <w:r w:rsidRPr="002934D0">
        <w:rPr>
          <w:i/>
          <w:iCs/>
          <w:color w:val="auto"/>
        </w:rPr>
        <w:t xml:space="preserve">Chlamydia pneumoniae*, Chlamydia psittaci, Chlamydia trachomatis, Legionella pneumophila*Legionella </w:t>
      </w:r>
      <w:r w:rsidRPr="002934D0">
        <w:rPr>
          <w:color w:val="auto"/>
        </w:rPr>
        <w:t xml:space="preserve">spp, </w:t>
      </w:r>
      <w:r w:rsidRPr="002934D0">
        <w:rPr>
          <w:i/>
          <w:iCs/>
          <w:color w:val="auto"/>
        </w:rPr>
        <w:t xml:space="preserve">Mycobacterium </w:t>
      </w:r>
      <w:r w:rsidRPr="002934D0">
        <w:rPr>
          <w:color w:val="auto"/>
        </w:rPr>
        <w:t>spp</w:t>
      </w:r>
      <w:r w:rsidRPr="002934D0">
        <w:rPr>
          <w:i/>
          <w:iCs/>
          <w:color w:val="auto"/>
        </w:rPr>
        <w:t>, Mycobacterium leprae, Mycobacterium tuberculosis</w:t>
      </w:r>
      <w:proofErr w:type="gramStart"/>
      <w:r w:rsidRPr="002934D0">
        <w:rPr>
          <w:i/>
          <w:iCs/>
          <w:color w:val="auto"/>
        </w:rPr>
        <w:t>,,</w:t>
      </w:r>
      <w:proofErr w:type="gramEnd"/>
      <w:r w:rsidRPr="002934D0">
        <w:rPr>
          <w:i/>
          <w:iCs/>
          <w:color w:val="auto"/>
        </w:rPr>
        <w:t xml:space="preserve"> Mycoplasma hominis, Mycoplasma pneumoniae* Rickettsia </w:t>
      </w:r>
      <w:r w:rsidRPr="002934D0">
        <w:rPr>
          <w:color w:val="auto"/>
        </w:rPr>
        <w:t>spp</w:t>
      </w:r>
      <w:r w:rsidRPr="002934D0">
        <w:rPr>
          <w:i/>
          <w:iCs/>
          <w:color w:val="auto"/>
        </w:rPr>
        <w:t xml:space="preserve">, Ureaplasma urealyticum . </w:t>
      </w:r>
    </w:p>
    <w:p w:rsidR="0097032C" w:rsidRPr="002934D0" w:rsidRDefault="0097032C" w:rsidP="0031412B">
      <w:pPr>
        <w:pStyle w:val="Default"/>
        <w:spacing w:line="276" w:lineRule="auto"/>
        <w:jc w:val="both"/>
        <w:rPr>
          <w:b/>
          <w:bCs/>
          <w:color w:val="auto"/>
        </w:rPr>
      </w:pPr>
    </w:p>
    <w:p w:rsidR="001C0108" w:rsidRPr="002934D0" w:rsidRDefault="001C0108" w:rsidP="0031412B">
      <w:pPr>
        <w:pStyle w:val="Default"/>
        <w:spacing w:line="276" w:lineRule="auto"/>
        <w:jc w:val="both"/>
        <w:rPr>
          <w:color w:val="auto"/>
        </w:rPr>
      </w:pPr>
      <w:r w:rsidRPr="002934D0">
        <w:rPr>
          <w:b/>
          <w:bCs/>
          <w:color w:val="auto"/>
        </w:rPr>
        <w:t xml:space="preserve">Orta duyarlı mikroorganizmalar: </w:t>
      </w:r>
    </w:p>
    <w:p w:rsidR="0097032C" w:rsidRPr="002934D0" w:rsidRDefault="001C0108" w:rsidP="0031412B">
      <w:pPr>
        <w:pStyle w:val="Default"/>
        <w:spacing w:line="276" w:lineRule="auto"/>
        <w:jc w:val="both"/>
        <w:rPr>
          <w:color w:val="auto"/>
        </w:rPr>
      </w:pPr>
      <w:r w:rsidRPr="002934D0">
        <w:rPr>
          <w:b/>
          <w:bCs/>
          <w:color w:val="auto"/>
        </w:rPr>
        <w:t xml:space="preserve">Gram-pozitif </w:t>
      </w:r>
      <w:proofErr w:type="gramStart"/>
      <w:r w:rsidRPr="002934D0">
        <w:rPr>
          <w:b/>
          <w:bCs/>
          <w:color w:val="auto"/>
        </w:rPr>
        <w:t>aerob:</w:t>
      </w:r>
      <w:r w:rsidRPr="002934D0">
        <w:rPr>
          <w:i/>
          <w:iCs/>
          <w:color w:val="auto"/>
        </w:rPr>
        <w:t>Corynebacterium</w:t>
      </w:r>
      <w:proofErr w:type="gramEnd"/>
      <w:r w:rsidRPr="002934D0">
        <w:rPr>
          <w:i/>
          <w:iCs/>
          <w:color w:val="auto"/>
        </w:rPr>
        <w:t xml:space="preserve"> urealyticum, Corynebacterium xerosis, Enterococcus faecium, Staphylococcus epidermidis (</w:t>
      </w:r>
      <w:r w:rsidRPr="002934D0">
        <w:rPr>
          <w:color w:val="auto"/>
        </w:rPr>
        <w:t>metisiline dirençli)</w:t>
      </w:r>
      <w:r w:rsidRPr="002934D0">
        <w:rPr>
          <w:i/>
          <w:iCs/>
          <w:color w:val="auto"/>
        </w:rPr>
        <w:t xml:space="preserve">, Staphylococcus haemolyticus </w:t>
      </w:r>
      <w:r w:rsidRPr="002934D0">
        <w:rPr>
          <w:color w:val="auto"/>
        </w:rPr>
        <w:t xml:space="preserve">(metisiline dirençli). </w:t>
      </w:r>
    </w:p>
    <w:p w:rsidR="0097032C" w:rsidRPr="002934D0" w:rsidRDefault="0097032C" w:rsidP="0031412B">
      <w:pPr>
        <w:pStyle w:val="Default"/>
        <w:spacing w:line="276" w:lineRule="auto"/>
        <w:jc w:val="both"/>
        <w:rPr>
          <w:b/>
          <w:bCs/>
          <w:color w:val="auto"/>
        </w:rPr>
      </w:pPr>
    </w:p>
    <w:p w:rsidR="0097032C" w:rsidRPr="002934D0" w:rsidRDefault="001C0108" w:rsidP="0031412B">
      <w:pPr>
        <w:pStyle w:val="Default"/>
        <w:spacing w:line="276" w:lineRule="auto"/>
        <w:jc w:val="both"/>
        <w:rPr>
          <w:i/>
          <w:iCs/>
          <w:color w:val="auto"/>
        </w:rPr>
      </w:pPr>
      <w:r w:rsidRPr="002934D0">
        <w:rPr>
          <w:b/>
          <w:bCs/>
          <w:color w:val="auto"/>
        </w:rPr>
        <w:t xml:space="preserve">Gram-negatif </w:t>
      </w:r>
      <w:proofErr w:type="gramStart"/>
      <w:r w:rsidRPr="002934D0">
        <w:rPr>
          <w:b/>
          <w:bCs/>
          <w:color w:val="auto"/>
        </w:rPr>
        <w:t>aerob:</w:t>
      </w:r>
      <w:r w:rsidRPr="002934D0">
        <w:rPr>
          <w:i/>
          <w:iCs/>
          <w:color w:val="auto"/>
        </w:rPr>
        <w:t>Campylobacter</w:t>
      </w:r>
      <w:proofErr w:type="gramEnd"/>
      <w:r w:rsidRPr="002934D0">
        <w:rPr>
          <w:i/>
          <w:iCs/>
          <w:color w:val="auto"/>
        </w:rPr>
        <w:t xml:space="preserve"> jejuni/coli </w:t>
      </w:r>
    </w:p>
    <w:p w:rsidR="0097032C" w:rsidRPr="002934D0" w:rsidRDefault="0097032C" w:rsidP="0031412B">
      <w:pPr>
        <w:pStyle w:val="Default"/>
        <w:spacing w:line="276" w:lineRule="auto"/>
        <w:jc w:val="both"/>
        <w:rPr>
          <w:b/>
          <w:bCs/>
          <w:color w:val="auto"/>
        </w:rPr>
      </w:pPr>
    </w:p>
    <w:p w:rsidR="001C0108" w:rsidRPr="002934D0" w:rsidRDefault="001C0108" w:rsidP="0031412B">
      <w:pPr>
        <w:pStyle w:val="Default"/>
        <w:spacing w:line="276" w:lineRule="auto"/>
        <w:jc w:val="both"/>
        <w:rPr>
          <w:color w:val="auto"/>
        </w:rPr>
      </w:pPr>
      <w:r w:rsidRPr="002934D0">
        <w:rPr>
          <w:b/>
          <w:bCs/>
          <w:color w:val="auto"/>
        </w:rPr>
        <w:t xml:space="preserve">Anaerob: </w:t>
      </w:r>
      <w:r w:rsidRPr="002934D0">
        <w:rPr>
          <w:i/>
          <w:iCs/>
          <w:color w:val="auto"/>
        </w:rPr>
        <w:t xml:space="preserve">Clostridium difficile, Prevotella </w:t>
      </w:r>
      <w:r w:rsidRPr="002934D0">
        <w:rPr>
          <w:color w:val="auto"/>
        </w:rPr>
        <w:t xml:space="preserve">spp </w:t>
      </w:r>
      <w:r w:rsidRPr="002934D0">
        <w:rPr>
          <w:i/>
          <w:iCs/>
          <w:color w:val="auto"/>
        </w:rPr>
        <w:t xml:space="preserve">ve Porphyromonas </w:t>
      </w:r>
      <w:r w:rsidRPr="002934D0">
        <w:rPr>
          <w:color w:val="auto"/>
        </w:rPr>
        <w:t xml:space="preserve">spp </w:t>
      </w:r>
    </w:p>
    <w:p w:rsidR="0097032C" w:rsidRPr="002934D0" w:rsidRDefault="0097032C" w:rsidP="0031412B">
      <w:pPr>
        <w:pStyle w:val="Default"/>
        <w:spacing w:line="276" w:lineRule="auto"/>
        <w:jc w:val="both"/>
        <w:rPr>
          <w:b/>
          <w:bCs/>
          <w:color w:val="auto"/>
        </w:rPr>
      </w:pPr>
    </w:p>
    <w:p w:rsidR="001C0108" w:rsidRPr="002934D0" w:rsidRDefault="001C0108" w:rsidP="0031412B">
      <w:pPr>
        <w:pStyle w:val="Default"/>
        <w:spacing w:line="276" w:lineRule="auto"/>
        <w:jc w:val="both"/>
        <w:rPr>
          <w:color w:val="auto"/>
        </w:rPr>
      </w:pPr>
      <w:r w:rsidRPr="002934D0">
        <w:rPr>
          <w:b/>
          <w:bCs/>
          <w:color w:val="auto"/>
        </w:rPr>
        <w:lastRenderedPageBreak/>
        <w:t xml:space="preserve">Dirençli mikroorganizmalar: </w:t>
      </w:r>
    </w:p>
    <w:p w:rsidR="0097032C" w:rsidRPr="002934D0" w:rsidRDefault="001C0108" w:rsidP="0031412B">
      <w:pPr>
        <w:pStyle w:val="Default"/>
        <w:spacing w:line="276" w:lineRule="auto"/>
        <w:jc w:val="both"/>
        <w:rPr>
          <w:color w:val="auto"/>
        </w:rPr>
      </w:pPr>
      <w:r w:rsidRPr="002934D0">
        <w:rPr>
          <w:b/>
          <w:bCs/>
          <w:color w:val="auto"/>
        </w:rPr>
        <w:t xml:space="preserve">Gram-pozitif aerob: </w:t>
      </w:r>
      <w:r w:rsidRPr="002934D0">
        <w:rPr>
          <w:i/>
          <w:iCs/>
          <w:color w:val="auto"/>
        </w:rPr>
        <w:t xml:space="preserve">Corynebacterium jeikeium, Staphylococcus </w:t>
      </w:r>
      <w:r w:rsidRPr="002934D0">
        <w:rPr>
          <w:color w:val="auto"/>
        </w:rPr>
        <w:t xml:space="preserve">koagülaz negatif methi-R, </w:t>
      </w:r>
      <w:r w:rsidRPr="002934D0">
        <w:rPr>
          <w:i/>
          <w:iCs/>
          <w:color w:val="auto"/>
        </w:rPr>
        <w:t xml:space="preserve">Staphylococcus aureus </w:t>
      </w:r>
      <w:r w:rsidRPr="002934D0">
        <w:rPr>
          <w:color w:val="auto"/>
        </w:rPr>
        <w:t xml:space="preserve">(metisiline dirençli) </w:t>
      </w:r>
    </w:p>
    <w:p w:rsidR="0097032C" w:rsidRPr="002934D0" w:rsidRDefault="001C0108" w:rsidP="0031412B">
      <w:pPr>
        <w:pStyle w:val="Default"/>
        <w:spacing w:line="276" w:lineRule="auto"/>
        <w:jc w:val="both"/>
        <w:rPr>
          <w:i/>
          <w:iCs/>
          <w:color w:val="auto"/>
        </w:rPr>
      </w:pPr>
      <w:r w:rsidRPr="002934D0">
        <w:rPr>
          <w:b/>
          <w:bCs/>
          <w:color w:val="auto"/>
        </w:rPr>
        <w:t xml:space="preserve">Gram-negatif aerob: </w:t>
      </w:r>
      <w:r w:rsidRPr="002934D0">
        <w:rPr>
          <w:i/>
          <w:iCs/>
          <w:color w:val="auto"/>
        </w:rPr>
        <w:t xml:space="preserve">Alcaligenes xylosoxidans </w:t>
      </w:r>
    </w:p>
    <w:p w:rsidR="0097032C" w:rsidRPr="002934D0" w:rsidRDefault="001C0108" w:rsidP="0031412B">
      <w:pPr>
        <w:pStyle w:val="Default"/>
        <w:spacing w:line="276" w:lineRule="auto"/>
        <w:jc w:val="both"/>
        <w:rPr>
          <w:i/>
          <w:iCs/>
          <w:color w:val="auto"/>
        </w:rPr>
      </w:pPr>
      <w:r w:rsidRPr="002934D0">
        <w:rPr>
          <w:b/>
          <w:bCs/>
          <w:color w:val="auto"/>
        </w:rPr>
        <w:t xml:space="preserve">Anaerob: </w:t>
      </w:r>
      <w:r w:rsidRPr="002934D0">
        <w:rPr>
          <w:i/>
          <w:iCs/>
          <w:color w:val="auto"/>
        </w:rPr>
        <w:t xml:space="preserve">Bacteriodes thetaiotaomicron </w:t>
      </w:r>
    </w:p>
    <w:p w:rsidR="001C0108" w:rsidRPr="002934D0" w:rsidRDefault="001C0108" w:rsidP="0031412B">
      <w:pPr>
        <w:pStyle w:val="Default"/>
        <w:spacing w:line="276" w:lineRule="auto"/>
        <w:jc w:val="both"/>
        <w:rPr>
          <w:color w:val="auto"/>
        </w:rPr>
      </w:pPr>
      <w:r w:rsidRPr="002934D0">
        <w:rPr>
          <w:b/>
          <w:bCs/>
          <w:color w:val="auto"/>
        </w:rPr>
        <w:t xml:space="preserve">Diğer: </w:t>
      </w:r>
      <w:r w:rsidRPr="002934D0">
        <w:rPr>
          <w:i/>
          <w:iCs/>
          <w:color w:val="auto"/>
        </w:rPr>
        <w:t xml:space="preserve">Mycobacterium avium </w:t>
      </w:r>
    </w:p>
    <w:p w:rsidR="001C0108" w:rsidRPr="002934D0" w:rsidRDefault="001C0108" w:rsidP="0031412B">
      <w:pPr>
        <w:pStyle w:val="Default"/>
        <w:spacing w:line="276" w:lineRule="auto"/>
        <w:jc w:val="both"/>
        <w:rPr>
          <w:color w:val="auto"/>
        </w:rPr>
      </w:pPr>
      <w:r w:rsidRPr="002934D0">
        <w:rPr>
          <w:color w:val="auto"/>
        </w:rPr>
        <w:t xml:space="preserve">* Klinik etkinlikleri klinik araştırmalarda kanıtlanmıştır. </w:t>
      </w:r>
    </w:p>
    <w:p w:rsidR="001C0108" w:rsidRPr="002934D0" w:rsidRDefault="001C0108" w:rsidP="0031412B">
      <w:pPr>
        <w:pStyle w:val="Default"/>
        <w:spacing w:line="276" w:lineRule="auto"/>
        <w:jc w:val="both"/>
        <w:rPr>
          <w:color w:val="auto"/>
        </w:rPr>
      </w:pPr>
      <w:r w:rsidRPr="002934D0">
        <w:rPr>
          <w:color w:val="auto"/>
        </w:rPr>
        <w:t xml:space="preserve">** </w:t>
      </w:r>
      <w:r w:rsidRPr="002934D0">
        <w:rPr>
          <w:i/>
          <w:iCs/>
          <w:color w:val="auto"/>
        </w:rPr>
        <w:t xml:space="preserve">Pseudomonas aeruginosa etkenli nozokomiyal enfeksiyonlarda </w:t>
      </w:r>
      <w:proofErr w:type="gramStart"/>
      <w:r w:rsidRPr="002934D0">
        <w:rPr>
          <w:i/>
          <w:iCs/>
          <w:color w:val="auto"/>
        </w:rPr>
        <w:t>kombinasyon</w:t>
      </w:r>
      <w:proofErr w:type="gramEnd"/>
      <w:r w:rsidRPr="002934D0">
        <w:rPr>
          <w:i/>
          <w:iCs/>
          <w:color w:val="auto"/>
        </w:rPr>
        <w:t xml:space="preserve"> tedavisi gerekebilir. </w:t>
      </w:r>
    </w:p>
    <w:p w:rsidR="0097032C" w:rsidRPr="002934D0" w:rsidRDefault="0097032C" w:rsidP="0031412B">
      <w:pPr>
        <w:pStyle w:val="Default"/>
        <w:spacing w:line="276" w:lineRule="auto"/>
        <w:jc w:val="both"/>
        <w:rPr>
          <w:b/>
          <w:bCs/>
          <w:color w:val="auto"/>
        </w:rPr>
      </w:pPr>
    </w:p>
    <w:p w:rsidR="001C0108" w:rsidRPr="002934D0" w:rsidRDefault="001C0108" w:rsidP="0031412B">
      <w:pPr>
        <w:pStyle w:val="Default"/>
        <w:spacing w:line="276" w:lineRule="auto"/>
        <w:jc w:val="both"/>
        <w:rPr>
          <w:color w:val="auto"/>
        </w:rPr>
      </w:pPr>
      <w:r w:rsidRPr="002934D0">
        <w:rPr>
          <w:b/>
          <w:bCs/>
          <w:color w:val="auto"/>
        </w:rPr>
        <w:t xml:space="preserve">Direnç </w:t>
      </w:r>
    </w:p>
    <w:p w:rsidR="00616E59" w:rsidRPr="002934D0" w:rsidRDefault="001C0108"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Levofloksasine direnç, tip II topoizomeraz, DNA giraz ve topoizomeraz IV hedef bölge mutasyonlarıyla, aşamalı bir süreç sonucunda kazanılır. Permeasyon bariyeri (</w:t>
      </w:r>
      <w:r w:rsidRPr="002934D0">
        <w:rPr>
          <w:rFonts w:ascii="Times New Roman" w:hAnsi="Times New Roman" w:cs="Times New Roman"/>
          <w:i/>
          <w:iCs/>
          <w:sz w:val="24"/>
          <w:szCs w:val="24"/>
        </w:rPr>
        <w:t>Pseudomonas aeruginosa’</w:t>
      </w:r>
      <w:r w:rsidRPr="002934D0">
        <w:rPr>
          <w:rFonts w:ascii="Times New Roman" w:hAnsi="Times New Roman" w:cs="Times New Roman"/>
          <w:sz w:val="24"/>
          <w:szCs w:val="24"/>
        </w:rPr>
        <w:t>da sıktır) ve pompa mekanizmaları gibi diğer direnç mekanizmaları da levofloksasine duyarlılığı etkileyebilir.</w:t>
      </w:r>
    </w:p>
    <w:p w:rsidR="001C0108" w:rsidRPr="002934D0" w:rsidRDefault="001C0108" w:rsidP="0031412B">
      <w:pPr>
        <w:spacing w:after="0"/>
        <w:jc w:val="both"/>
        <w:rPr>
          <w:rFonts w:ascii="Times New Roman" w:hAnsi="Times New Roman" w:cs="Times New Roman"/>
          <w:sz w:val="24"/>
          <w:szCs w:val="24"/>
        </w:rPr>
      </w:pPr>
    </w:p>
    <w:p w:rsidR="00616E59" w:rsidRPr="002934D0" w:rsidRDefault="00616E59"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Farmakokinetik özellikler</w:t>
      </w:r>
    </w:p>
    <w:p w:rsidR="0097032C" w:rsidRPr="002934D0" w:rsidRDefault="0097032C" w:rsidP="0031412B">
      <w:pPr>
        <w:pStyle w:val="Default"/>
        <w:spacing w:line="276" w:lineRule="auto"/>
        <w:jc w:val="both"/>
        <w:rPr>
          <w:color w:val="auto"/>
          <w:u w:val="single"/>
        </w:rPr>
      </w:pPr>
      <w:r w:rsidRPr="002934D0">
        <w:rPr>
          <w:color w:val="auto"/>
          <w:u w:val="single"/>
        </w:rPr>
        <w:t xml:space="preserve">Emilim: </w:t>
      </w:r>
    </w:p>
    <w:p w:rsidR="0097032C" w:rsidRPr="002934D0" w:rsidRDefault="0097032C" w:rsidP="0031412B">
      <w:pPr>
        <w:pStyle w:val="Default"/>
        <w:spacing w:line="276" w:lineRule="auto"/>
        <w:jc w:val="both"/>
        <w:rPr>
          <w:color w:val="auto"/>
        </w:rPr>
      </w:pPr>
      <w:r w:rsidRPr="002934D0">
        <w:rPr>
          <w:color w:val="auto"/>
        </w:rPr>
        <w:t xml:space="preserve">Oral yoldan verilen levofloksasin 1 saat içinde pik plazma </w:t>
      </w:r>
      <w:proofErr w:type="gramStart"/>
      <w:r w:rsidRPr="002934D0">
        <w:rPr>
          <w:color w:val="auto"/>
        </w:rPr>
        <w:t>konsantrasyonlarının</w:t>
      </w:r>
      <w:proofErr w:type="gramEnd"/>
      <w:r w:rsidRPr="002934D0">
        <w:rPr>
          <w:color w:val="auto"/>
        </w:rPr>
        <w:t xml:space="preserve"> elde edilmesiyle hızla ve neredeyse tamamen absorbe olur. Mutlak biyoyararlanımı %100’dür</w:t>
      </w:r>
      <w:r w:rsidR="00F82045" w:rsidRPr="002934D0">
        <w:rPr>
          <w:color w:val="auto"/>
        </w:rPr>
        <w:t>.</w:t>
      </w:r>
      <w:r w:rsidRPr="002934D0">
        <w:rPr>
          <w:color w:val="auto"/>
        </w:rPr>
        <w:t xml:space="preserve"> </w:t>
      </w:r>
    </w:p>
    <w:p w:rsidR="0097032C" w:rsidRPr="002934D0" w:rsidRDefault="0097032C" w:rsidP="0031412B">
      <w:pPr>
        <w:pStyle w:val="Default"/>
        <w:spacing w:line="276" w:lineRule="auto"/>
        <w:jc w:val="both"/>
        <w:rPr>
          <w:color w:val="auto"/>
        </w:rPr>
      </w:pPr>
      <w:r w:rsidRPr="002934D0">
        <w:rPr>
          <w:color w:val="auto"/>
        </w:rPr>
        <w:t xml:space="preserve">Levofloksasinin emilimi üzerinde gıdaların küçük bir etkisi vardır. </w:t>
      </w:r>
    </w:p>
    <w:p w:rsidR="0097032C" w:rsidRPr="002934D0" w:rsidRDefault="0097032C" w:rsidP="0031412B">
      <w:pPr>
        <w:pStyle w:val="Default"/>
        <w:spacing w:line="276" w:lineRule="auto"/>
        <w:jc w:val="both"/>
        <w:rPr>
          <w:color w:val="auto"/>
          <w:u w:val="single"/>
        </w:rPr>
      </w:pPr>
    </w:p>
    <w:p w:rsidR="0097032C" w:rsidRPr="002934D0" w:rsidRDefault="0097032C" w:rsidP="0031412B">
      <w:pPr>
        <w:pStyle w:val="Default"/>
        <w:spacing w:line="276" w:lineRule="auto"/>
        <w:jc w:val="both"/>
        <w:rPr>
          <w:color w:val="auto"/>
          <w:u w:val="single"/>
        </w:rPr>
      </w:pPr>
      <w:r w:rsidRPr="002934D0">
        <w:rPr>
          <w:color w:val="auto"/>
          <w:u w:val="single"/>
        </w:rPr>
        <w:t xml:space="preserve">Dağılım: </w:t>
      </w:r>
    </w:p>
    <w:p w:rsidR="0097032C" w:rsidRPr="002934D0" w:rsidRDefault="0097032C" w:rsidP="0031412B">
      <w:pPr>
        <w:pStyle w:val="Default"/>
        <w:spacing w:line="276" w:lineRule="auto"/>
        <w:jc w:val="both"/>
        <w:rPr>
          <w:color w:val="auto"/>
        </w:rPr>
      </w:pPr>
      <w:r w:rsidRPr="002934D0">
        <w:rPr>
          <w:color w:val="auto"/>
        </w:rPr>
        <w:t xml:space="preserve">Levofloksasinin yaklaşık %30-40’ı serum proteinlerine bağlanmış durumdadır. </w:t>
      </w:r>
    </w:p>
    <w:p w:rsidR="00E06750" w:rsidRPr="002934D0" w:rsidRDefault="0097032C" w:rsidP="0031412B">
      <w:pPr>
        <w:pStyle w:val="Default"/>
        <w:spacing w:line="276" w:lineRule="auto"/>
        <w:jc w:val="both"/>
        <w:rPr>
          <w:color w:val="auto"/>
        </w:rPr>
      </w:pPr>
      <w:r w:rsidRPr="002934D0">
        <w:rPr>
          <w:color w:val="auto"/>
        </w:rPr>
        <w:t xml:space="preserve">Günde 500 mg çoklu doz levofloksasin ile göz ardı edilebilir bir birikim gözlenmiştir. Günde </w:t>
      </w:r>
      <w:r w:rsidR="00E06750" w:rsidRPr="002934D0">
        <w:rPr>
          <w:color w:val="auto"/>
        </w:rPr>
        <w:t>iki</w:t>
      </w:r>
      <w:r w:rsidRPr="002934D0">
        <w:rPr>
          <w:color w:val="auto"/>
        </w:rPr>
        <w:t xml:space="preserve"> kez 500 mg uygulanmasının ardından az miktarda da olsa bir birikim bulunmaktadır.</w:t>
      </w:r>
    </w:p>
    <w:p w:rsidR="0097032C" w:rsidRPr="002934D0" w:rsidRDefault="0097032C" w:rsidP="0031412B">
      <w:pPr>
        <w:pStyle w:val="Default"/>
        <w:spacing w:line="276" w:lineRule="auto"/>
        <w:jc w:val="both"/>
        <w:rPr>
          <w:color w:val="auto"/>
        </w:rPr>
      </w:pPr>
      <w:r w:rsidRPr="002934D0">
        <w:rPr>
          <w:color w:val="auto"/>
        </w:rPr>
        <w:t xml:space="preserve"> </w:t>
      </w:r>
    </w:p>
    <w:p w:rsidR="0097032C" w:rsidRPr="002934D0" w:rsidRDefault="0097032C" w:rsidP="0031412B">
      <w:pPr>
        <w:pStyle w:val="Default"/>
        <w:spacing w:line="276" w:lineRule="auto"/>
        <w:jc w:val="both"/>
        <w:rPr>
          <w:color w:val="auto"/>
        </w:rPr>
      </w:pPr>
      <w:r w:rsidRPr="002934D0">
        <w:rPr>
          <w:b/>
          <w:bCs/>
          <w:i/>
          <w:iCs/>
          <w:color w:val="auto"/>
        </w:rPr>
        <w:t xml:space="preserve">Dokulara ve vücut sıvılarına geçiş: </w:t>
      </w:r>
    </w:p>
    <w:p w:rsidR="0097032C" w:rsidRPr="002934D0" w:rsidRDefault="0097032C" w:rsidP="0031412B">
      <w:pPr>
        <w:pStyle w:val="Default"/>
        <w:spacing w:line="276" w:lineRule="auto"/>
        <w:jc w:val="both"/>
        <w:rPr>
          <w:color w:val="auto"/>
        </w:rPr>
      </w:pPr>
      <w:r w:rsidRPr="002934D0">
        <w:rPr>
          <w:i/>
          <w:iCs/>
          <w:color w:val="auto"/>
        </w:rPr>
        <w:t xml:space="preserve">Bronşial Mukoza, Epitelyal Mukus Sıvısına ve Alveaolar Makrofajlara Penetrasyon </w:t>
      </w:r>
    </w:p>
    <w:p w:rsidR="0097032C" w:rsidRPr="002934D0" w:rsidRDefault="0097032C" w:rsidP="0031412B">
      <w:pPr>
        <w:pStyle w:val="Default"/>
        <w:spacing w:line="276" w:lineRule="auto"/>
        <w:jc w:val="both"/>
        <w:rPr>
          <w:color w:val="auto"/>
        </w:rPr>
      </w:pPr>
      <w:r w:rsidRPr="002934D0">
        <w:rPr>
          <w:color w:val="auto"/>
        </w:rPr>
        <w:t xml:space="preserve">Tek doz 500 mg p.o. dozdan sonra bronşial mukozada ve epitelyal mukus sıvısında maksimum levofloksasin konsantrasyonları sırasıyla </w:t>
      </w:r>
      <w:proofErr w:type="gramStart"/>
      <w:r w:rsidRPr="002934D0">
        <w:rPr>
          <w:color w:val="auto"/>
        </w:rPr>
        <w:t>8.3</w:t>
      </w:r>
      <w:proofErr w:type="gramEnd"/>
      <w:r w:rsidRPr="002934D0">
        <w:rPr>
          <w:color w:val="auto"/>
        </w:rPr>
        <w:t xml:space="preserve"> </w:t>
      </w:r>
      <w:r w:rsidR="00E06750" w:rsidRPr="002934D0">
        <w:rPr>
          <w:color w:val="auto"/>
        </w:rPr>
        <w:t>µ</w:t>
      </w:r>
      <w:r w:rsidRPr="002934D0">
        <w:rPr>
          <w:color w:val="auto"/>
        </w:rPr>
        <w:t xml:space="preserve">g/g ve 10.9 </w:t>
      </w:r>
      <w:r w:rsidR="00E06750" w:rsidRPr="002934D0">
        <w:rPr>
          <w:color w:val="auto"/>
        </w:rPr>
        <w:t>µ</w:t>
      </w:r>
      <w:r w:rsidRPr="002934D0">
        <w:rPr>
          <w:color w:val="auto"/>
        </w:rPr>
        <w:t xml:space="preserve">g/ml olup mukozadan ve epital mukus sıvısından seruma penetrasyon oranları sırasıyla 1.1- 1.8 ve 0.8- 3’tür. Bu düzeylere, sırasıyla, verildikten yaklaşık 1 saat veya 4 saat sonra ulaşılmıştır. </w:t>
      </w:r>
    </w:p>
    <w:p w:rsidR="0097032C" w:rsidRPr="002934D0" w:rsidRDefault="0097032C" w:rsidP="0031412B">
      <w:pPr>
        <w:pStyle w:val="Default"/>
        <w:spacing w:line="276" w:lineRule="auto"/>
        <w:jc w:val="both"/>
        <w:rPr>
          <w:color w:val="auto"/>
        </w:rPr>
      </w:pPr>
      <w:r w:rsidRPr="002934D0">
        <w:rPr>
          <w:color w:val="auto"/>
        </w:rPr>
        <w:t xml:space="preserve">5 gün boyunca 500 mg ve 750 mg oral uygulamanın ardından, son uygulamadan 4 saat sonraki epitelyal mukus sıvısında ortalama </w:t>
      </w:r>
      <w:proofErr w:type="gramStart"/>
      <w:r w:rsidRPr="002934D0">
        <w:rPr>
          <w:color w:val="auto"/>
        </w:rPr>
        <w:t>konsantrasyonlar</w:t>
      </w:r>
      <w:proofErr w:type="gramEnd"/>
      <w:r w:rsidRPr="002934D0">
        <w:rPr>
          <w:color w:val="auto"/>
        </w:rPr>
        <w:t xml:space="preserve"> sırasıyla 9.94 mcg/ml ve 22.12 mcg/ml’dir. Alveolar makrofajda sırasıyla </w:t>
      </w:r>
      <w:proofErr w:type="gramStart"/>
      <w:r w:rsidRPr="002934D0">
        <w:rPr>
          <w:color w:val="auto"/>
        </w:rPr>
        <w:t>97.9</w:t>
      </w:r>
      <w:proofErr w:type="gramEnd"/>
      <w:r w:rsidRPr="002934D0">
        <w:rPr>
          <w:color w:val="auto"/>
        </w:rPr>
        <w:t xml:space="preserve"> mcg/ml ve 105.1 mcg/ml’dir. </w:t>
      </w:r>
    </w:p>
    <w:p w:rsidR="00E06750" w:rsidRPr="002934D0" w:rsidRDefault="00E06750" w:rsidP="0031412B">
      <w:pPr>
        <w:pStyle w:val="Default"/>
        <w:spacing w:line="276" w:lineRule="auto"/>
        <w:jc w:val="both"/>
        <w:rPr>
          <w:i/>
          <w:iCs/>
          <w:color w:val="auto"/>
        </w:rPr>
      </w:pPr>
    </w:p>
    <w:p w:rsidR="00F82045" w:rsidRPr="002934D0" w:rsidRDefault="00F82045" w:rsidP="0031412B">
      <w:pPr>
        <w:pStyle w:val="Default"/>
        <w:spacing w:line="276" w:lineRule="auto"/>
        <w:jc w:val="both"/>
        <w:rPr>
          <w:i/>
          <w:iCs/>
          <w:color w:val="auto"/>
        </w:rPr>
      </w:pPr>
    </w:p>
    <w:p w:rsidR="0097032C" w:rsidRPr="002934D0" w:rsidRDefault="0097032C" w:rsidP="0031412B">
      <w:pPr>
        <w:pStyle w:val="Default"/>
        <w:spacing w:line="276" w:lineRule="auto"/>
        <w:jc w:val="both"/>
        <w:rPr>
          <w:color w:val="auto"/>
        </w:rPr>
      </w:pPr>
      <w:r w:rsidRPr="002934D0">
        <w:rPr>
          <w:i/>
          <w:iCs/>
          <w:color w:val="auto"/>
        </w:rPr>
        <w:t xml:space="preserve">Akciğer Dokusuna Penetrasyon </w:t>
      </w:r>
    </w:p>
    <w:p w:rsidR="0097032C" w:rsidRPr="002934D0" w:rsidRDefault="0097032C" w:rsidP="0031412B">
      <w:pPr>
        <w:pStyle w:val="Default"/>
        <w:spacing w:line="276" w:lineRule="auto"/>
        <w:jc w:val="both"/>
        <w:rPr>
          <w:color w:val="auto"/>
        </w:rPr>
      </w:pPr>
      <w:r w:rsidRPr="002934D0">
        <w:rPr>
          <w:color w:val="auto"/>
        </w:rPr>
        <w:t xml:space="preserve">500 mg p.o. dozdan sonra akciğer dokusundaki maksimum levofloksasin konsantrasyonları </w:t>
      </w:r>
      <w:proofErr w:type="gramStart"/>
      <w:r w:rsidRPr="002934D0">
        <w:rPr>
          <w:color w:val="auto"/>
        </w:rPr>
        <w:t>11.3</w:t>
      </w:r>
      <w:proofErr w:type="gramEnd"/>
      <w:r w:rsidRPr="002934D0">
        <w:rPr>
          <w:color w:val="auto"/>
        </w:rPr>
        <w:t xml:space="preserve"> </w:t>
      </w:r>
      <w:r w:rsidR="00E06750" w:rsidRPr="002934D0">
        <w:rPr>
          <w:color w:val="auto"/>
        </w:rPr>
        <w:t>µ</w:t>
      </w:r>
      <w:r w:rsidRPr="002934D0">
        <w:rPr>
          <w:color w:val="auto"/>
        </w:rPr>
        <w:t xml:space="preserve">g/g’dır ve bu düzeylere, verildikten yaklaşık 4-6 saat sonra ulaşılmış olup akciğer dokusundan plazmaya dağılım oranı 2-5’tir. </w:t>
      </w:r>
    </w:p>
    <w:p w:rsidR="00E06750" w:rsidRPr="002934D0" w:rsidRDefault="00E06750" w:rsidP="0031412B">
      <w:pPr>
        <w:pStyle w:val="Default"/>
        <w:spacing w:line="276" w:lineRule="auto"/>
        <w:jc w:val="both"/>
        <w:rPr>
          <w:color w:val="auto"/>
        </w:rPr>
      </w:pPr>
    </w:p>
    <w:p w:rsidR="0097032C" w:rsidRPr="002934D0" w:rsidRDefault="0097032C" w:rsidP="0031412B">
      <w:pPr>
        <w:pStyle w:val="Default"/>
        <w:spacing w:line="276" w:lineRule="auto"/>
        <w:jc w:val="both"/>
        <w:rPr>
          <w:color w:val="auto"/>
        </w:rPr>
      </w:pPr>
      <w:r w:rsidRPr="002934D0">
        <w:rPr>
          <w:i/>
          <w:iCs/>
          <w:color w:val="auto"/>
        </w:rPr>
        <w:t xml:space="preserve">Bül Sıvısına Penetrasyon </w:t>
      </w:r>
    </w:p>
    <w:p w:rsidR="00616E59" w:rsidRPr="002934D0" w:rsidRDefault="0097032C"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lastRenderedPageBreak/>
        <w:t xml:space="preserve">3 gün boyunca 500 mg’lık dozun günde bir veya iki kez verilmesinden 2-4 saat sonra, bül sıvısı içinde sırasıyla </w:t>
      </w:r>
      <w:proofErr w:type="gramStart"/>
      <w:r w:rsidRPr="002934D0">
        <w:rPr>
          <w:rFonts w:ascii="Times New Roman" w:hAnsi="Times New Roman" w:cs="Times New Roman"/>
          <w:sz w:val="24"/>
          <w:szCs w:val="24"/>
        </w:rPr>
        <w:t>4.0</w:t>
      </w:r>
      <w:proofErr w:type="gramEnd"/>
      <w:r w:rsidRPr="002934D0">
        <w:rPr>
          <w:rFonts w:ascii="Times New Roman" w:hAnsi="Times New Roman" w:cs="Times New Roman"/>
          <w:sz w:val="24"/>
          <w:szCs w:val="24"/>
        </w:rPr>
        <w:t xml:space="preserve"> ve 6.7 </w:t>
      </w:r>
      <w:r w:rsidR="00E06750" w:rsidRPr="002934D0">
        <w:rPr>
          <w:rFonts w:ascii="Times New Roman" w:hAnsi="Times New Roman" w:cs="Times New Roman"/>
          <w:sz w:val="24"/>
          <w:szCs w:val="24"/>
        </w:rPr>
        <w:t>µ</w:t>
      </w:r>
      <w:r w:rsidRPr="002934D0">
        <w:rPr>
          <w:rFonts w:ascii="Times New Roman" w:hAnsi="Times New Roman" w:cs="Times New Roman"/>
          <w:sz w:val="24"/>
          <w:szCs w:val="24"/>
        </w:rPr>
        <w:t>g/ml’lik maksimum levofloksasin konsantrasyonlarına ulaşılmış olup bül sıvısı/plazma oranı yaklaşık 1’dir.</w:t>
      </w:r>
    </w:p>
    <w:p w:rsidR="00E06750" w:rsidRPr="002934D0" w:rsidRDefault="00E06750" w:rsidP="0031412B">
      <w:pPr>
        <w:pStyle w:val="Default"/>
        <w:spacing w:line="276" w:lineRule="auto"/>
        <w:jc w:val="both"/>
        <w:rPr>
          <w:i/>
          <w:iCs/>
          <w:color w:val="auto"/>
        </w:rPr>
      </w:pPr>
    </w:p>
    <w:p w:rsidR="0097032C" w:rsidRPr="002934D0" w:rsidRDefault="0097032C" w:rsidP="0031412B">
      <w:pPr>
        <w:pStyle w:val="Default"/>
        <w:spacing w:line="276" w:lineRule="auto"/>
        <w:jc w:val="both"/>
        <w:rPr>
          <w:color w:val="auto"/>
        </w:rPr>
      </w:pPr>
      <w:r w:rsidRPr="002934D0">
        <w:rPr>
          <w:i/>
          <w:iCs/>
          <w:color w:val="auto"/>
        </w:rPr>
        <w:t xml:space="preserve">Kemik Dokusuna Dağılım </w:t>
      </w:r>
    </w:p>
    <w:p w:rsidR="0097032C" w:rsidRPr="002934D0" w:rsidRDefault="0097032C" w:rsidP="0031412B">
      <w:pPr>
        <w:pStyle w:val="Default"/>
        <w:spacing w:line="276" w:lineRule="auto"/>
        <w:jc w:val="both"/>
        <w:rPr>
          <w:color w:val="auto"/>
        </w:rPr>
      </w:pPr>
      <w:r w:rsidRPr="002934D0">
        <w:rPr>
          <w:color w:val="auto"/>
        </w:rPr>
        <w:t xml:space="preserve">Levofloksasin proksimal ve distal femurdaki kortikal ve süngerimsi dokuya penetrasyon oranları </w:t>
      </w:r>
      <w:proofErr w:type="gramStart"/>
      <w:r w:rsidRPr="002934D0">
        <w:rPr>
          <w:color w:val="auto"/>
        </w:rPr>
        <w:t>0.1’den</w:t>
      </w:r>
      <w:proofErr w:type="gramEnd"/>
      <w:r w:rsidRPr="002934D0">
        <w:rPr>
          <w:color w:val="auto"/>
        </w:rPr>
        <w:t xml:space="preserve"> 3’e olmak üzere iyi şekilde penetre olur. 500 mg p.o.’nun ardından spongios proksimal femurdaki maksimum levofloksasin konsantrasyonu uygulamadan 2 s</w:t>
      </w:r>
      <w:r w:rsidR="00E06750" w:rsidRPr="002934D0">
        <w:rPr>
          <w:color w:val="auto"/>
        </w:rPr>
        <w:t>a</w:t>
      </w:r>
      <w:r w:rsidRPr="002934D0">
        <w:rPr>
          <w:color w:val="auto"/>
        </w:rPr>
        <w:t xml:space="preserve">at sonra yaklaşık </w:t>
      </w:r>
      <w:proofErr w:type="gramStart"/>
      <w:r w:rsidRPr="002934D0">
        <w:rPr>
          <w:color w:val="auto"/>
        </w:rPr>
        <w:t>15.1</w:t>
      </w:r>
      <w:proofErr w:type="gramEnd"/>
      <w:r w:rsidRPr="002934D0">
        <w:rPr>
          <w:color w:val="auto"/>
        </w:rPr>
        <w:t xml:space="preserve"> mcg/g’dır. </w:t>
      </w:r>
    </w:p>
    <w:p w:rsidR="0097032C" w:rsidRPr="002934D0" w:rsidRDefault="0097032C" w:rsidP="0031412B">
      <w:pPr>
        <w:pStyle w:val="Default"/>
        <w:spacing w:line="276" w:lineRule="auto"/>
        <w:jc w:val="both"/>
        <w:rPr>
          <w:color w:val="auto"/>
        </w:rPr>
      </w:pPr>
      <w:proofErr w:type="spellStart"/>
      <w:r w:rsidRPr="002934D0">
        <w:rPr>
          <w:i/>
          <w:iCs/>
          <w:color w:val="auto"/>
        </w:rPr>
        <w:t>Serebro</w:t>
      </w:r>
      <w:proofErr w:type="spellEnd"/>
      <w:r w:rsidRPr="002934D0">
        <w:rPr>
          <w:i/>
          <w:iCs/>
          <w:color w:val="auto"/>
        </w:rPr>
        <w:t>-</w:t>
      </w:r>
      <w:proofErr w:type="spellStart"/>
      <w:r w:rsidRPr="002934D0">
        <w:rPr>
          <w:i/>
          <w:iCs/>
          <w:color w:val="auto"/>
        </w:rPr>
        <w:t>Spinal</w:t>
      </w:r>
      <w:proofErr w:type="spellEnd"/>
      <w:r w:rsidRPr="002934D0">
        <w:rPr>
          <w:i/>
          <w:iCs/>
          <w:color w:val="auto"/>
        </w:rPr>
        <w:t xml:space="preserve"> Sıvıya </w:t>
      </w:r>
      <w:proofErr w:type="spellStart"/>
      <w:r w:rsidRPr="002934D0">
        <w:rPr>
          <w:i/>
          <w:iCs/>
          <w:color w:val="auto"/>
        </w:rPr>
        <w:t>Penetrasyon</w:t>
      </w:r>
      <w:proofErr w:type="spellEnd"/>
      <w:r w:rsidRPr="002934D0">
        <w:rPr>
          <w:i/>
          <w:iCs/>
          <w:color w:val="auto"/>
        </w:rPr>
        <w:t xml:space="preserve"> </w:t>
      </w:r>
    </w:p>
    <w:p w:rsidR="0097032C" w:rsidRPr="002934D0" w:rsidRDefault="0097032C" w:rsidP="0031412B">
      <w:pPr>
        <w:pStyle w:val="Default"/>
        <w:spacing w:line="276" w:lineRule="auto"/>
        <w:jc w:val="both"/>
        <w:rPr>
          <w:color w:val="auto"/>
        </w:rPr>
      </w:pPr>
      <w:r w:rsidRPr="002934D0">
        <w:rPr>
          <w:color w:val="auto"/>
        </w:rPr>
        <w:t xml:space="preserve">Levofloksasinin serebro-spinal sıvıya geçişi düşüktür. </w:t>
      </w:r>
    </w:p>
    <w:p w:rsidR="00E06750" w:rsidRPr="002934D0" w:rsidRDefault="00E06750" w:rsidP="0031412B">
      <w:pPr>
        <w:pStyle w:val="Default"/>
        <w:spacing w:line="276" w:lineRule="auto"/>
        <w:jc w:val="both"/>
        <w:rPr>
          <w:i/>
          <w:iCs/>
          <w:color w:val="auto"/>
        </w:rPr>
      </w:pPr>
    </w:p>
    <w:p w:rsidR="0097032C" w:rsidRPr="002934D0" w:rsidRDefault="0097032C" w:rsidP="0031412B">
      <w:pPr>
        <w:pStyle w:val="Default"/>
        <w:spacing w:line="276" w:lineRule="auto"/>
        <w:jc w:val="both"/>
        <w:rPr>
          <w:color w:val="auto"/>
        </w:rPr>
      </w:pPr>
      <w:r w:rsidRPr="002934D0">
        <w:rPr>
          <w:i/>
          <w:iCs/>
          <w:color w:val="auto"/>
        </w:rPr>
        <w:t xml:space="preserve">Prostat dokusuna dağılım </w:t>
      </w:r>
    </w:p>
    <w:p w:rsidR="0097032C" w:rsidRPr="002934D0" w:rsidRDefault="0097032C" w:rsidP="0031412B">
      <w:pPr>
        <w:pStyle w:val="Default"/>
        <w:spacing w:line="276" w:lineRule="auto"/>
        <w:jc w:val="both"/>
        <w:rPr>
          <w:color w:val="auto"/>
        </w:rPr>
      </w:pPr>
      <w:r w:rsidRPr="002934D0">
        <w:rPr>
          <w:color w:val="auto"/>
        </w:rPr>
        <w:t xml:space="preserve">Günde 3 kez oral 500 mg levofloksasin uygulanmasından sonra prostat dokusundaki </w:t>
      </w:r>
      <w:proofErr w:type="gramStart"/>
      <w:r w:rsidRPr="002934D0">
        <w:rPr>
          <w:color w:val="auto"/>
        </w:rPr>
        <w:t>konsantrasyon</w:t>
      </w:r>
      <w:proofErr w:type="gramEnd"/>
      <w:r w:rsidRPr="002934D0">
        <w:rPr>
          <w:color w:val="auto"/>
        </w:rPr>
        <w:t xml:space="preserve"> ortalama 2 saatten sonra 8.7 μg/g ve ortalama prostat/plazma konsantrasyonu 1.84’dür. </w:t>
      </w:r>
    </w:p>
    <w:p w:rsidR="00E06750" w:rsidRPr="002934D0" w:rsidRDefault="00E06750" w:rsidP="0031412B">
      <w:pPr>
        <w:pStyle w:val="Default"/>
        <w:spacing w:line="276" w:lineRule="auto"/>
        <w:jc w:val="both"/>
        <w:rPr>
          <w:i/>
          <w:iCs/>
          <w:color w:val="auto"/>
        </w:rPr>
      </w:pPr>
    </w:p>
    <w:p w:rsidR="0097032C" w:rsidRPr="002934D0" w:rsidRDefault="0097032C" w:rsidP="0031412B">
      <w:pPr>
        <w:pStyle w:val="Default"/>
        <w:spacing w:line="276" w:lineRule="auto"/>
        <w:jc w:val="both"/>
        <w:rPr>
          <w:color w:val="auto"/>
        </w:rPr>
      </w:pPr>
      <w:r w:rsidRPr="002934D0">
        <w:rPr>
          <w:i/>
          <w:iCs/>
          <w:color w:val="auto"/>
        </w:rPr>
        <w:t xml:space="preserve">İdrardaki Konsantrasyonu </w:t>
      </w:r>
    </w:p>
    <w:p w:rsidR="0097032C" w:rsidRPr="002934D0" w:rsidRDefault="0097032C" w:rsidP="0031412B">
      <w:pPr>
        <w:pStyle w:val="Default"/>
        <w:spacing w:line="276" w:lineRule="auto"/>
        <w:jc w:val="both"/>
        <w:rPr>
          <w:color w:val="auto"/>
        </w:rPr>
      </w:pPr>
      <w:r w:rsidRPr="002934D0">
        <w:rPr>
          <w:color w:val="auto"/>
        </w:rPr>
        <w:t xml:space="preserve">150 mg, 300 mg veya 500 mg’lık oral tek dozdan sonra levofloksasinin ortalama idrar </w:t>
      </w:r>
      <w:proofErr w:type="gramStart"/>
      <w:r w:rsidRPr="002934D0">
        <w:rPr>
          <w:color w:val="auto"/>
        </w:rPr>
        <w:t>konsantrasyonları</w:t>
      </w:r>
      <w:proofErr w:type="gramEnd"/>
      <w:r w:rsidRPr="002934D0">
        <w:rPr>
          <w:color w:val="auto"/>
        </w:rPr>
        <w:t xml:space="preserve"> sırasıyla 44 mg/L, 91 mg/L ve 200 mg/L’dir. </w:t>
      </w:r>
    </w:p>
    <w:p w:rsidR="00E06750" w:rsidRPr="002934D0" w:rsidRDefault="00E06750" w:rsidP="0031412B">
      <w:pPr>
        <w:pStyle w:val="Default"/>
        <w:spacing w:line="276" w:lineRule="auto"/>
        <w:jc w:val="both"/>
        <w:rPr>
          <w:color w:val="auto"/>
        </w:rPr>
      </w:pPr>
    </w:p>
    <w:p w:rsidR="0097032C" w:rsidRPr="002934D0" w:rsidRDefault="0097032C" w:rsidP="0031412B">
      <w:pPr>
        <w:pStyle w:val="Default"/>
        <w:spacing w:line="276" w:lineRule="auto"/>
        <w:jc w:val="both"/>
        <w:rPr>
          <w:color w:val="auto"/>
          <w:u w:val="single"/>
        </w:rPr>
      </w:pPr>
      <w:r w:rsidRPr="002934D0">
        <w:rPr>
          <w:color w:val="auto"/>
          <w:u w:val="single"/>
        </w:rPr>
        <w:t xml:space="preserve">Biyotransformasyon: </w:t>
      </w:r>
    </w:p>
    <w:p w:rsidR="0097032C" w:rsidRPr="002934D0" w:rsidRDefault="0097032C" w:rsidP="0031412B">
      <w:pPr>
        <w:pStyle w:val="Default"/>
        <w:spacing w:line="276" w:lineRule="auto"/>
        <w:jc w:val="both"/>
        <w:rPr>
          <w:color w:val="auto"/>
        </w:rPr>
      </w:pPr>
      <w:r w:rsidRPr="002934D0">
        <w:rPr>
          <w:color w:val="auto"/>
        </w:rPr>
        <w:t xml:space="preserve">Levofloksasin çok az düzeyde metabolize olur, metabolitleri desmetil-levofloksasin ve levofloksasin N-oksittir. Metabolitler, idrarda atılırlar ve dozun &lt;%5’ini oluştururlar. Levofoksasin stereokimyasal olarak </w:t>
      </w:r>
      <w:proofErr w:type="gramStart"/>
      <w:r w:rsidRPr="002934D0">
        <w:rPr>
          <w:color w:val="auto"/>
        </w:rPr>
        <w:t>stabildir</w:t>
      </w:r>
      <w:proofErr w:type="gramEnd"/>
      <w:r w:rsidRPr="002934D0">
        <w:rPr>
          <w:color w:val="auto"/>
        </w:rPr>
        <w:t xml:space="preserve"> ve izomerik dönüşüme uğramaz. </w:t>
      </w:r>
    </w:p>
    <w:p w:rsidR="00E06750" w:rsidRPr="002934D0" w:rsidRDefault="00E06750" w:rsidP="0031412B">
      <w:pPr>
        <w:pStyle w:val="Default"/>
        <w:spacing w:line="276" w:lineRule="auto"/>
        <w:jc w:val="both"/>
        <w:rPr>
          <w:color w:val="auto"/>
        </w:rPr>
      </w:pPr>
    </w:p>
    <w:p w:rsidR="0097032C" w:rsidRPr="002934D0" w:rsidRDefault="0097032C" w:rsidP="0031412B">
      <w:pPr>
        <w:pStyle w:val="Default"/>
        <w:spacing w:line="276" w:lineRule="auto"/>
        <w:jc w:val="both"/>
        <w:rPr>
          <w:color w:val="auto"/>
          <w:u w:val="single"/>
        </w:rPr>
      </w:pPr>
      <w:r w:rsidRPr="002934D0">
        <w:rPr>
          <w:color w:val="auto"/>
          <w:u w:val="single"/>
        </w:rPr>
        <w:t xml:space="preserve">Eliminasyon: </w:t>
      </w:r>
    </w:p>
    <w:p w:rsidR="0097032C" w:rsidRPr="002934D0" w:rsidRDefault="0097032C" w:rsidP="0031412B">
      <w:pPr>
        <w:pStyle w:val="Default"/>
        <w:spacing w:line="276" w:lineRule="auto"/>
        <w:jc w:val="both"/>
        <w:rPr>
          <w:color w:val="auto"/>
        </w:rPr>
      </w:pPr>
      <w:r w:rsidRPr="002934D0">
        <w:rPr>
          <w:color w:val="auto"/>
        </w:rPr>
        <w:t xml:space="preserve">Levofloksasin oral ve intravenöz verilmesini takiben, plazmadan göreceli olarak yavaş elimine olur (t½ : 6 - 8 saat). Atılımı esas olarak renal yoldandır (verilen dozun &gt;%85’i). </w:t>
      </w:r>
    </w:p>
    <w:p w:rsidR="00E06750" w:rsidRPr="002934D0" w:rsidRDefault="00E06750" w:rsidP="0031412B">
      <w:pPr>
        <w:pStyle w:val="Default"/>
        <w:spacing w:line="276" w:lineRule="auto"/>
        <w:jc w:val="both"/>
        <w:rPr>
          <w:color w:val="auto"/>
        </w:rPr>
      </w:pPr>
    </w:p>
    <w:p w:rsidR="0097032C" w:rsidRPr="002934D0" w:rsidRDefault="0097032C" w:rsidP="0031412B">
      <w:pPr>
        <w:pStyle w:val="Default"/>
        <w:spacing w:line="276" w:lineRule="auto"/>
        <w:jc w:val="both"/>
        <w:rPr>
          <w:color w:val="auto"/>
        </w:rPr>
      </w:pPr>
      <w:r w:rsidRPr="002934D0">
        <w:rPr>
          <w:color w:val="auto"/>
        </w:rPr>
        <w:t>500 mg tek dozu takiben levofloksasinin ortalama total vücut klerensi 175 +/- 29.2 ml/dak.’</w:t>
      </w:r>
      <w:proofErr w:type="gramStart"/>
      <w:r w:rsidRPr="002934D0">
        <w:rPr>
          <w:color w:val="auto"/>
        </w:rPr>
        <w:t>dır</w:t>
      </w:r>
      <w:proofErr w:type="gramEnd"/>
      <w:r w:rsidRPr="002934D0">
        <w:rPr>
          <w:color w:val="auto"/>
        </w:rPr>
        <w:t xml:space="preserve">. </w:t>
      </w:r>
    </w:p>
    <w:p w:rsidR="00E06750" w:rsidRPr="002934D0" w:rsidRDefault="00E06750" w:rsidP="0031412B">
      <w:pPr>
        <w:pStyle w:val="Default"/>
        <w:spacing w:line="276" w:lineRule="auto"/>
        <w:jc w:val="both"/>
        <w:rPr>
          <w:color w:val="auto"/>
        </w:rPr>
      </w:pPr>
    </w:p>
    <w:p w:rsidR="00E06750" w:rsidRPr="002934D0" w:rsidRDefault="0097032C" w:rsidP="0031412B">
      <w:pPr>
        <w:pStyle w:val="Default"/>
        <w:spacing w:line="276" w:lineRule="auto"/>
        <w:jc w:val="both"/>
        <w:rPr>
          <w:color w:val="auto"/>
        </w:rPr>
      </w:pPr>
      <w:r w:rsidRPr="002934D0">
        <w:rPr>
          <w:color w:val="auto"/>
        </w:rPr>
        <w:t>750 mg tek dozu takiben levofloksasinin ortalama total vücut klerensi 143 +/- 29.1 ml/dak.’</w:t>
      </w:r>
      <w:proofErr w:type="gramStart"/>
      <w:r w:rsidRPr="002934D0">
        <w:rPr>
          <w:color w:val="auto"/>
        </w:rPr>
        <w:t>dır</w:t>
      </w:r>
      <w:proofErr w:type="gramEnd"/>
      <w:r w:rsidRPr="002934D0">
        <w:rPr>
          <w:color w:val="auto"/>
        </w:rPr>
        <w:t xml:space="preserve">. </w:t>
      </w:r>
    </w:p>
    <w:p w:rsidR="00E06750" w:rsidRPr="002934D0" w:rsidRDefault="0097032C" w:rsidP="0031412B">
      <w:pPr>
        <w:pStyle w:val="Default"/>
        <w:spacing w:line="276" w:lineRule="auto"/>
        <w:jc w:val="both"/>
        <w:rPr>
          <w:color w:val="auto"/>
        </w:rPr>
      </w:pPr>
      <w:r w:rsidRPr="002934D0">
        <w:rPr>
          <w:color w:val="auto"/>
        </w:rPr>
        <w:t xml:space="preserve">Levofloksasinin intravenöz ve oral uygulanmasında temel farmakokinetik farklılık yoktur, bu oral ve intravenöz yolların birbirinin yerine geçebileceğini düşündürmektedir. </w:t>
      </w:r>
    </w:p>
    <w:p w:rsidR="00E06750" w:rsidRPr="002934D0" w:rsidRDefault="00E06750" w:rsidP="0031412B">
      <w:pPr>
        <w:pStyle w:val="Default"/>
        <w:spacing w:line="276" w:lineRule="auto"/>
        <w:jc w:val="both"/>
        <w:rPr>
          <w:color w:val="auto"/>
        </w:rPr>
      </w:pPr>
    </w:p>
    <w:p w:rsidR="0097032C" w:rsidRPr="002934D0" w:rsidRDefault="0097032C" w:rsidP="0031412B">
      <w:pPr>
        <w:pStyle w:val="Default"/>
        <w:spacing w:line="276" w:lineRule="auto"/>
        <w:jc w:val="both"/>
        <w:rPr>
          <w:color w:val="auto"/>
          <w:u w:val="single"/>
        </w:rPr>
      </w:pPr>
      <w:r w:rsidRPr="002934D0">
        <w:rPr>
          <w:color w:val="auto"/>
          <w:u w:val="single"/>
        </w:rPr>
        <w:t xml:space="preserve">Doğrusallık/Doğrusal olmayan durum: </w:t>
      </w:r>
    </w:p>
    <w:p w:rsidR="0097032C" w:rsidRPr="002934D0" w:rsidRDefault="0097032C" w:rsidP="0031412B">
      <w:pPr>
        <w:pStyle w:val="Default"/>
        <w:spacing w:line="276" w:lineRule="auto"/>
        <w:jc w:val="both"/>
        <w:rPr>
          <w:color w:val="auto"/>
        </w:rPr>
      </w:pPr>
      <w:r w:rsidRPr="002934D0">
        <w:rPr>
          <w:color w:val="auto"/>
        </w:rPr>
        <w:t xml:space="preserve">150-600 mg doz aralığında, levofloksasin doğrusal bir farmakokinetik izler. </w:t>
      </w:r>
    </w:p>
    <w:p w:rsidR="00F82045" w:rsidRPr="002934D0" w:rsidRDefault="00F82045" w:rsidP="0031412B">
      <w:pPr>
        <w:pStyle w:val="Default"/>
        <w:spacing w:line="276" w:lineRule="auto"/>
        <w:jc w:val="both"/>
        <w:rPr>
          <w:b/>
          <w:bCs/>
          <w:color w:val="auto"/>
        </w:rPr>
      </w:pPr>
    </w:p>
    <w:p w:rsidR="00960707" w:rsidRPr="002934D0" w:rsidRDefault="00960707" w:rsidP="0031412B">
      <w:pPr>
        <w:pStyle w:val="Default"/>
        <w:spacing w:line="276" w:lineRule="auto"/>
        <w:jc w:val="both"/>
        <w:rPr>
          <w:b/>
          <w:bCs/>
          <w:color w:val="auto"/>
        </w:rPr>
      </w:pPr>
    </w:p>
    <w:p w:rsidR="00960707" w:rsidRPr="002934D0" w:rsidRDefault="00960707" w:rsidP="0031412B">
      <w:pPr>
        <w:pStyle w:val="Default"/>
        <w:spacing w:line="276" w:lineRule="auto"/>
        <w:jc w:val="both"/>
        <w:rPr>
          <w:b/>
          <w:bCs/>
          <w:color w:val="auto"/>
        </w:rPr>
      </w:pPr>
    </w:p>
    <w:p w:rsidR="00960707" w:rsidRPr="002934D0" w:rsidRDefault="00960707" w:rsidP="0031412B">
      <w:pPr>
        <w:pStyle w:val="Default"/>
        <w:spacing w:line="276" w:lineRule="auto"/>
        <w:jc w:val="both"/>
        <w:rPr>
          <w:b/>
          <w:bCs/>
          <w:color w:val="auto"/>
        </w:rPr>
      </w:pPr>
    </w:p>
    <w:p w:rsidR="0097032C" w:rsidRPr="002934D0" w:rsidRDefault="0097032C" w:rsidP="0031412B">
      <w:pPr>
        <w:pStyle w:val="Default"/>
        <w:spacing w:line="276" w:lineRule="auto"/>
        <w:jc w:val="both"/>
        <w:rPr>
          <w:color w:val="auto"/>
        </w:rPr>
      </w:pPr>
      <w:r w:rsidRPr="002934D0">
        <w:rPr>
          <w:b/>
          <w:bCs/>
          <w:color w:val="auto"/>
        </w:rPr>
        <w:lastRenderedPageBreak/>
        <w:t xml:space="preserve">Hastalardaki karakteristik özellikler </w:t>
      </w:r>
    </w:p>
    <w:p w:rsidR="0097032C" w:rsidRPr="002934D0" w:rsidRDefault="0097032C" w:rsidP="0031412B">
      <w:pPr>
        <w:pStyle w:val="Default"/>
        <w:spacing w:line="276" w:lineRule="auto"/>
        <w:jc w:val="both"/>
        <w:rPr>
          <w:color w:val="auto"/>
          <w:u w:val="single"/>
        </w:rPr>
      </w:pPr>
      <w:r w:rsidRPr="002934D0">
        <w:rPr>
          <w:color w:val="auto"/>
          <w:u w:val="single"/>
        </w:rPr>
        <w:t xml:space="preserve">Böbrek yetmezliği olan hastalar: </w:t>
      </w:r>
    </w:p>
    <w:p w:rsidR="0097032C" w:rsidRPr="002934D0" w:rsidRDefault="0097032C"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Böbrek yetmezliğinde levofloksasinin farmakokinetik özellikleri etkilenir. Böbrek fonksiyonlarının azalmasıyla birlikte, böbreklerden eliminasyonu ve klirensi düşer ve aşağıdaki tabloda gösterildiği gibi, </w:t>
      </w:r>
      <w:proofErr w:type="gramStart"/>
      <w:r w:rsidRPr="002934D0">
        <w:rPr>
          <w:rFonts w:ascii="Times New Roman" w:hAnsi="Times New Roman" w:cs="Times New Roman"/>
          <w:sz w:val="24"/>
          <w:szCs w:val="24"/>
        </w:rPr>
        <w:t>eliminasyon</w:t>
      </w:r>
      <w:proofErr w:type="gramEnd"/>
      <w:r w:rsidRPr="002934D0">
        <w:rPr>
          <w:rFonts w:ascii="Times New Roman" w:hAnsi="Times New Roman" w:cs="Times New Roman"/>
          <w:sz w:val="24"/>
          <w:szCs w:val="24"/>
        </w:rPr>
        <w:t xml:space="preserve"> yarı ömrü uzar:</w:t>
      </w:r>
    </w:p>
    <w:p w:rsidR="0097032C" w:rsidRPr="002934D0" w:rsidRDefault="0097032C" w:rsidP="0031412B">
      <w:pPr>
        <w:spacing w:after="0"/>
        <w:jc w:val="both"/>
        <w:rPr>
          <w:rFonts w:ascii="Times New Roman" w:hAnsi="Times New Roman" w:cs="Times New Roman"/>
          <w:sz w:val="24"/>
          <w:szCs w:val="24"/>
        </w:rPr>
      </w:pPr>
    </w:p>
    <w:tbl>
      <w:tblPr>
        <w:tblStyle w:val="TabloKlavuzu"/>
        <w:tblW w:w="0" w:type="auto"/>
        <w:tblInd w:w="108" w:type="dxa"/>
        <w:tblLook w:val="04A0"/>
      </w:tblPr>
      <w:tblGrid>
        <w:gridCol w:w="1560"/>
        <w:gridCol w:w="850"/>
        <w:gridCol w:w="992"/>
        <w:gridCol w:w="993"/>
      </w:tblGrid>
      <w:tr w:rsidR="0097032C" w:rsidRPr="002934D0" w:rsidTr="00E06750">
        <w:tc>
          <w:tcPr>
            <w:tcW w:w="1560" w:type="dxa"/>
          </w:tcPr>
          <w:p w:rsidR="0097032C" w:rsidRPr="002934D0" w:rsidRDefault="0097032C" w:rsidP="0031412B">
            <w:pPr>
              <w:pStyle w:val="Default"/>
              <w:spacing w:line="276" w:lineRule="auto"/>
              <w:jc w:val="both"/>
              <w:rPr>
                <w:color w:val="auto"/>
              </w:rPr>
            </w:pPr>
            <w:r w:rsidRPr="002934D0">
              <w:rPr>
                <w:color w:val="auto"/>
              </w:rPr>
              <w:t xml:space="preserve">Clcr [ml/dak] </w:t>
            </w:r>
          </w:p>
        </w:tc>
        <w:tc>
          <w:tcPr>
            <w:tcW w:w="850" w:type="dxa"/>
          </w:tcPr>
          <w:p w:rsidR="0097032C" w:rsidRPr="002934D0" w:rsidRDefault="0097032C" w:rsidP="0031412B">
            <w:pPr>
              <w:pStyle w:val="Default"/>
              <w:spacing w:line="276" w:lineRule="auto"/>
              <w:jc w:val="both"/>
              <w:rPr>
                <w:color w:val="auto"/>
              </w:rPr>
            </w:pPr>
            <w:r w:rsidRPr="002934D0">
              <w:rPr>
                <w:color w:val="auto"/>
              </w:rPr>
              <w:t xml:space="preserve">&lt; 20 </w:t>
            </w:r>
          </w:p>
        </w:tc>
        <w:tc>
          <w:tcPr>
            <w:tcW w:w="992" w:type="dxa"/>
          </w:tcPr>
          <w:p w:rsidR="0097032C" w:rsidRPr="002934D0" w:rsidRDefault="0097032C" w:rsidP="0031412B">
            <w:pPr>
              <w:pStyle w:val="Default"/>
              <w:spacing w:line="276" w:lineRule="auto"/>
              <w:jc w:val="both"/>
              <w:rPr>
                <w:color w:val="auto"/>
              </w:rPr>
            </w:pPr>
            <w:r w:rsidRPr="002934D0">
              <w:rPr>
                <w:color w:val="auto"/>
              </w:rPr>
              <w:t xml:space="preserve">20 - 49 </w:t>
            </w:r>
          </w:p>
        </w:tc>
        <w:tc>
          <w:tcPr>
            <w:tcW w:w="993" w:type="dxa"/>
          </w:tcPr>
          <w:p w:rsidR="0097032C" w:rsidRPr="002934D0" w:rsidRDefault="0097032C" w:rsidP="0031412B">
            <w:pPr>
              <w:pStyle w:val="Default"/>
              <w:spacing w:line="276" w:lineRule="auto"/>
              <w:jc w:val="both"/>
              <w:rPr>
                <w:color w:val="auto"/>
              </w:rPr>
            </w:pPr>
            <w:r w:rsidRPr="002934D0">
              <w:rPr>
                <w:color w:val="auto"/>
              </w:rPr>
              <w:t xml:space="preserve">50 - 80 </w:t>
            </w:r>
          </w:p>
        </w:tc>
      </w:tr>
      <w:tr w:rsidR="0097032C" w:rsidRPr="002934D0" w:rsidTr="00E06750">
        <w:tc>
          <w:tcPr>
            <w:tcW w:w="1560" w:type="dxa"/>
          </w:tcPr>
          <w:p w:rsidR="0097032C" w:rsidRPr="002934D0" w:rsidRDefault="0097032C" w:rsidP="0031412B">
            <w:pPr>
              <w:pStyle w:val="Default"/>
              <w:spacing w:line="276" w:lineRule="auto"/>
              <w:jc w:val="both"/>
              <w:rPr>
                <w:color w:val="auto"/>
              </w:rPr>
            </w:pPr>
            <w:r w:rsidRPr="002934D0">
              <w:rPr>
                <w:color w:val="auto"/>
              </w:rPr>
              <w:t xml:space="preserve">ClR [ml/dak] </w:t>
            </w:r>
          </w:p>
        </w:tc>
        <w:tc>
          <w:tcPr>
            <w:tcW w:w="850" w:type="dxa"/>
          </w:tcPr>
          <w:p w:rsidR="0097032C" w:rsidRPr="002934D0" w:rsidRDefault="0097032C" w:rsidP="0031412B">
            <w:pPr>
              <w:pStyle w:val="Default"/>
              <w:spacing w:line="276" w:lineRule="auto"/>
              <w:jc w:val="both"/>
              <w:rPr>
                <w:color w:val="auto"/>
              </w:rPr>
            </w:pPr>
            <w:r w:rsidRPr="002934D0">
              <w:rPr>
                <w:color w:val="auto"/>
              </w:rPr>
              <w:t xml:space="preserve">13 </w:t>
            </w:r>
          </w:p>
        </w:tc>
        <w:tc>
          <w:tcPr>
            <w:tcW w:w="992" w:type="dxa"/>
          </w:tcPr>
          <w:p w:rsidR="0097032C" w:rsidRPr="002934D0" w:rsidRDefault="0097032C" w:rsidP="0031412B">
            <w:pPr>
              <w:pStyle w:val="Default"/>
              <w:spacing w:line="276" w:lineRule="auto"/>
              <w:jc w:val="both"/>
              <w:rPr>
                <w:color w:val="auto"/>
              </w:rPr>
            </w:pPr>
            <w:r w:rsidRPr="002934D0">
              <w:rPr>
                <w:color w:val="auto"/>
              </w:rPr>
              <w:t xml:space="preserve">26 </w:t>
            </w:r>
          </w:p>
        </w:tc>
        <w:tc>
          <w:tcPr>
            <w:tcW w:w="993" w:type="dxa"/>
          </w:tcPr>
          <w:p w:rsidR="0097032C" w:rsidRPr="002934D0" w:rsidRDefault="0097032C" w:rsidP="0031412B">
            <w:pPr>
              <w:pStyle w:val="Default"/>
              <w:spacing w:line="276" w:lineRule="auto"/>
              <w:jc w:val="both"/>
              <w:rPr>
                <w:color w:val="auto"/>
              </w:rPr>
            </w:pPr>
            <w:r w:rsidRPr="002934D0">
              <w:rPr>
                <w:color w:val="auto"/>
              </w:rPr>
              <w:t xml:space="preserve">57 </w:t>
            </w:r>
          </w:p>
        </w:tc>
      </w:tr>
      <w:tr w:rsidR="0097032C" w:rsidRPr="002934D0" w:rsidTr="00E06750">
        <w:tc>
          <w:tcPr>
            <w:tcW w:w="1560" w:type="dxa"/>
          </w:tcPr>
          <w:p w:rsidR="0097032C" w:rsidRPr="002934D0" w:rsidRDefault="0097032C" w:rsidP="0031412B">
            <w:pPr>
              <w:pStyle w:val="Default"/>
              <w:spacing w:line="276" w:lineRule="auto"/>
              <w:jc w:val="both"/>
              <w:rPr>
                <w:color w:val="auto"/>
              </w:rPr>
            </w:pPr>
            <w:r w:rsidRPr="002934D0">
              <w:rPr>
                <w:color w:val="auto"/>
              </w:rPr>
              <w:t xml:space="preserve">t1/2 [saat] </w:t>
            </w:r>
          </w:p>
        </w:tc>
        <w:tc>
          <w:tcPr>
            <w:tcW w:w="850" w:type="dxa"/>
          </w:tcPr>
          <w:p w:rsidR="0097032C" w:rsidRPr="002934D0" w:rsidRDefault="0097032C" w:rsidP="0031412B">
            <w:pPr>
              <w:pStyle w:val="Default"/>
              <w:spacing w:line="276" w:lineRule="auto"/>
              <w:jc w:val="both"/>
              <w:rPr>
                <w:color w:val="auto"/>
              </w:rPr>
            </w:pPr>
            <w:r w:rsidRPr="002934D0">
              <w:rPr>
                <w:color w:val="auto"/>
              </w:rPr>
              <w:t xml:space="preserve">35 </w:t>
            </w:r>
          </w:p>
        </w:tc>
        <w:tc>
          <w:tcPr>
            <w:tcW w:w="992" w:type="dxa"/>
          </w:tcPr>
          <w:p w:rsidR="0097032C" w:rsidRPr="002934D0" w:rsidRDefault="0097032C" w:rsidP="0031412B">
            <w:pPr>
              <w:pStyle w:val="Default"/>
              <w:spacing w:line="276" w:lineRule="auto"/>
              <w:jc w:val="both"/>
              <w:rPr>
                <w:color w:val="auto"/>
              </w:rPr>
            </w:pPr>
            <w:r w:rsidRPr="002934D0">
              <w:rPr>
                <w:color w:val="auto"/>
              </w:rPr>
              <w:t xml:space="preserve">27 </w:t>
            </w:r>
          </w:p>
        </w:tc>
        <w:tc>
          <w:tcPr>
            <w:tcW w:w="993" w:type="dxa"/>
          </w:tcPr>
          <w:p w:rsidR="0097032C" w:rsidRPr="002934D0" w:rsidRDefault="0097032C" w:rsidP="0031412B">
            <w:pPr>
              <w:pStyle w:val="Default"/>
              <w:spacing w:line="276" w:lineRule="auto"/>
              <w:jc w:val="both"/>
              <w:rPr>
                <w:color w:val="auto"/>
              </w:rPr>
            </w:pPr>
            <w:r w:rsidRPr="002934D0">
              <w:rPr>
                <w:color w:val="auto"/>
              </w:rPr>
              <w:t xml:space="preserve">9 </w:t>
            </w:r>
          </w:p>
        </w:tc>
      </w:tr>
    </w:tbl>
    <w:p w:rsidR="0097032C" w:rsidRPr="002934D0" w:rsidRDefault="0097032C" w:rsidP="0031412B">
      <w:pPr>
        <w:spacing w:after="0"/>
        <w:jc w:val="both"/>
        <w:rPr>
          <w:rFonts w:ascii="Times New Roman" w:hAnsi="Times New Roman" w:cs="Times New Roman"/>
          <w:sz w:val="24"/>
          <w:szCs w:val="24"/>
        </w:rPr>
      </w:pPr>
    </w:p>
    <w:p w:rsidR="00960707" w:rsidRPr="002934D0" w:rsidRDefault="00960707" w:rsidP="0031412B">
      <w:pPr>
        <w:pStyle w:val="Default"/>
        <w:spacing w:line="276" w:lineRule="auto"/>
        <w:jc w:val="both"/>
        <w:rPr>
          <w:color w:val="auto"/>
          <w:u w:val="single"/>
        </w:rPr>
      </w:pPr>
    </w:p>
    <w:p w:rsidR="0097032C" w:rsidRPr="002934D0" w:rsidRDefault="0097032C" w:rsidP="0031412B">
      <w:pPr>
        <w:pStyle w:val="Default"/>
        <w:spacing w:line="276" w:lineRule="auto"/>
        <w:jc w:val="both"/>
        <w:rPr>
          <w:color w:val="auto"/>
          <w:u w:val="single"/>
        </w:rPr>
      </w:pPr>
      <w:r w:rsidRPr="002934D0">
        <w:rPr>
          <w:color w:val="auto"/>
          <w:u w:val="single"/>
        </w:rPr>
        <w:t xml:space="preserve">Yaşlı hastalar: </w:t>
      </w:r>
    </w:p>
    <w:p w:rsidR="0097032C" w:rsidRPr="002934D0" w:rsidRDefault="0097032C" w:rsidP="0031412B">
      <w:pPr>
        <w:pStyle w:val="Default"/>
        <w:spacing w:line="276" w:lineRule="auto"/>
        <w:jc w:val="both"/>
        <w:rPr>
          <w:color w:val="auto"/>
        </w:rPr>
      </w:pPr>
      <w:r w:rsidRPr="002934D0">
        <w:rPr>
          <w:color w:val="auto"/>
        </w:rPr>
        <w:t xml:space="preserve">Levofloksasinin farmakokinetik özellikleri, kreatinin klirensindeki farklılıklarla alakalı olanlar dışında, yaşlılarla gençler arasında önemli değişiklikler göstermez. </w:t>
      </w:r>
    </w:p>
    <w:p w:rsidR="00E06750" w:rsidRPr="002934D0" w:rsidRDefault="00E06750" w:rsidP="0031412B">
      <w:pPr>
        <w:pStyle w:val="Default"/>
        <w:spacing w:line="276" w:lineRule="auto"/>
        <w:jc w:val="both"/>
        <w:rPr>
          <w:color w:val="auto"/>
        </w:rPr>
      </w:pPr>
    </w:p>
    <w:p w:rsidR="0097032C" w:rsidRPr="002934D0" w:rsidRDefault="0097032C" w:rsidP="0031412B">
      <w:pPr>
        <w:pStyle w:val="Default"/>
        <w:spacing w:line="276" w:lineRule="auto"/>
        <w:jc w:val="both"/>
        <w:rPr>
          <w:color w:val="auto"/>
          <w:u w:val="single"/>
        </w:rPr>
      </w:pPr>
      <w:r w:rsidRPr="002934D0">
        <w:rPr>
          <w:color w:val="auto"/>
          <w:u w:val="single"/>
        </w:rPr>
        <w:t xml:space="preserve">Cinsiyet farklılıkları: </w:t>
      </w:r>
    </w:p>
    <w:p w:rsidR="00616E59" w:rsidRPr="002934D0" w:rsidRDefault="0097032C"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Kadın ve erkeklerde yapılan ayrı analizler neticesinde levofloksasinin farmakokinetik özelliklerinde cinsiyetler arasında çok küçük </w:t>
      </w:r>
      <w:proofErr w:type="gramStart"/>
      <w:r w:rsidRPr="002934D0">
        <w:rPr>
          <w:rFonts w:ascii="Times New Roman" w:hAnsi="Times New Roman" w:cs="Times New Roman"/>
          <w:sz w:val="24"/>
          <w:szCs w:val="24"/>
        </w:rPr>
        <w:t>marjinal</w:t>
      </w:r>
      <w:proofErr w:type="gramEnd"/>
      <w:r w:rsidRPr="002934D0">
        <w:rPr>
          <w:rFonts w:ascii="Times New Roman" w:hAnsi="Times New Roman" w:cs="Times New Roman"/>
          <w:sz w:val="24"/>
          <w:szCs w:val="24"/>
        </w:rPr>
        <w:t xml:space="preserve"> farklılıklar olduğu gösterilmiştir. Bu farkların klinik açıdan anlamlı olduğuna dair her hangi bir kanıt yoktur.</w:t>
      </w:r>
    </w:p>
    <w:p w:rsidR="0097032C" w:rsidRPr="002934D0" w:rsidRDefault="0097032C" w:rsidP="0031412B">
      <w:pPr>
        <w:spacing w:after="0"/>
        <w:jc w:val="both"/>
        <w:rPr>
          <w:rFonts w:ascii="Times New Roman" w:hAnsi="Times New Roman" w:cs="Times New Roman"/>
          <w:sz w:val="24"/>
          <w:szCs w:val="24"/>
        </w:rPr>
      </w:pPr>
    </w:p>
    <w:p w:rsidR="00616E59" w:rsidRPr="002934D0" w:rsidRDefault="00616E59"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Klinik öncesi güvenlilik verileri</w:t>
      </w:r>
    </w:p>
    <w:p w:rsidR="0097032C" w:rsidRPr="002934D0" w:rsidRDefault="0097032C" w:rsidP="0031412B">
      <w:pPr>
        <w:pStyle w:val="Default"/>
        <w:spacing w:line="276" w:lineRule="auto"/>
        <w:jc w:val="both"/>
        <w:rPr>
          <w:color w:val="auto"/>
          <w:u w:val="single"/>
        </w:rPr>
      </w:pPr>
      <w:r w:rsidRPr="002934D0">
        <w:rPr>
          <w:color w:val="auto"/>
          <w:u w:val="single"/>
        </w:rPr>
        <w:t xml:space="preserve">Akut toksisite: </w:t>
      </w:r>
    </w:p>
    <w:p w:rsidR="0097032C" w:rsidRPr="002934D0" w:rsidRDefault="0097032C" w:rsidP="0031412B">
      <w:pPr>
        <w:pStyle w:val="Default"/>
        <w:spacing w:line="276" w:lineRule="auto"/>
        <w:jc w:val="both"/>
        <w:rPr>
          <w:color w:val="auto"/>
        </w:rPr>
      </w:pPr>
      <w:r w:rsidRPr="002934D0">
        <w:rPr>
          <w:color w:val="auto"/>
        </w:rPr>
        <w:t>Levofloksasinin oral uygulanmasından sonra farelerde ve ratlarda elde edilen medyan letal doz (LD</w:t>
      </w:r>
      <w:r w:rsidRPr="002934D0">
        <w:rPr>
          <w:color w:val="auto"/>
          <w:vertAlign w:val="subscript"/>
        </w:rPr>
        <w:t>50</w:t>
      </w:r>
      <w:r w:rsidRPr="002934D0">
        <w:rPr>
          <w:color w:val="auto"/>
        </w:rPr>
        <w:t xml:space="preserve">) değerleri 1500-2000 mg/kg aralığındadır. </w:t>
      </w:r>
    </w:p>
    <w:p w:rsidR="00E06750" w:rsidRPr="002934D0" w:rsidRDefault="00E06750" w:rsidP="0031412B">
      <w:pPr>
        <w:pStyle w:val="Default"/>
        <w:spacing w:line="276" w:lineRule="auto"/>
        <w:jc w:val="both"/>
        <w:rPr>
          <w:color w:val="auto"/>
        </w:rPr>
      </w:pPr>
    </w:p>
    <w:p w:rsidR="0097032C" w:rsidRPr="002934D0" w:rsidRDefault="0097032C" w:rsidP="0031412B">
      <w:pPr>
        <w:pStyle w:val="Default"/>
        <w:spacing w:line="276" w:lineRule="auto"/>
        <w:jc w:val="both"/>
        <w:rPr>
          <w:color w:val="auto"/>
          <w:u w:val="single"/>
        </w:rPr>
      </w:pPr>
      <w:r w:rsidRPr="002934D0">
        <w:rPr>
          <w:color w:val="auto"/>
          <w:u w:val="single"/>
        </w:rPr>
        <w:t xml:space="preserve">Maymunlara oral olarak 500 mg/kg uygulaması, kusma dışında etkisi küçük miktarda azalmıştır. </w:t>
      </w:r>
    </w:p>
    <w:p w:rsidR="00E06750" w:rsidRPr="002934D0" w:rsidRDefault="00E06750" w:rsidP="0031412B">
      <w:pPr>
        <w:pStyle w:val="Default"/>
        <w:spacing w:line="276" w:lineRule="auto"/>
        <w:jc w:val="both"/>
        <w:rPr>
          <w:color w:val="auto"/>
          <w:u w:val="single"/>
        </w:rPr>
      </w:pPr>
    </w:p>
    <w:p w:rsidR="00E06750" w:rsidRPr="002934D0" w:rsidRDefault="0097032C" w:rsidP="0031412B">
      <w:pPr>
        <w:pStyle w:val="Default"/>
        <w:spacing w:line="276" w:lineRule="auto"/>
        <w:jc w:val="both"/>
        <w:rPr>
          <w:color w:val="auto"/>
          <w:u w:val="single"/>
        </w:rPr>
      </w:pPr>
      <w:r w:rsidRPr="002934D0">
        <w:rPr>
          <w:color w:val="auto"/>
          <w:u w:val="single"/>
        </w:rPr>
        <w:t>Tekrarlanan doz toksisitesi:</w:t>
      </w:r>
    </w:p>
    <w:p w:rsidR="0097032C" w:rsidRPr="002934D0" w:rsidRDefault="0097032C" w:rsidP="0031412B">
      <w:pPr>
        <w:pStyle w:val="Default"/>
        <w:spacing w:line="276" w:lineRule="auto"/>
        <w:jc w:val="both"/>
        <w:rPr>
          <w:color w:val="auto"/>
        </w:rPr>
      </w:pPr>
      <w:r w:rsidRPr="002934D0">
        <w:rPr>
          <w:color w:val="auto"/>
        </w:rPr>
        <w:t xml:space="preserve">Rat ve maymunlarda gavaj ile besleme yapılarak 1 – 6 ay boyunda çalışma yürütülmüştür. Ratlarda 1 ve 6 aylar içinde günde 50, 200, 800 mg/kg ve 20, 80, 320 mg/kg dozlar, maymunlarda günde 1 ve 6 aylar içinde günde 10,30, 100 mg/kg ve 10, 25, </w:t>
      </w:r>
      <w:proofErr w:type="gramStart"/>
      <w:r w:rsidRPr="002934D0">
        <w:rPr>
          <w:color w:val="auto"/>
        </w:rPr>
        <w:t>62.5</w:t>
      </w:r>
      <w:proofErr w:type="gramEnd"/>
      <w:r w:rsidRPr="002934D0">
        <w:rPr>
          <w:color w:val="auto"/>
        </w:rPr>
        <w:t xml:space="preserve"> mg/kg dozlar uygulanmıştır. Azaltılmış yiyecek ile birlikte özellikle 200 mg/kg/gün ve üzeri dozlarda ve hemotolojik ve biyokimyasal parametrelerdeki küçük miktardaki değişiklikler ratlardaki tedaviye yanıtı çok az etkilemiştir. Bu çalışmalardaki Yan Etki Gözlemlenmeyen Düzeyler (NOELs), 1 ve 6 aydan sonra sırasıyla 200 ve 20 mg/kg/gün olarak değerlendirilmiştir. </w:t>
      </w:r>
    </w:p>
    <w:p w:rsidR="00E06750" w:rsidRPr="002934D0" w:rsidRDefault="00E06750" w:rsidP="0031412B">
      <w:pPr>
        <w:pStyle w:val="Default"/>
        <w:spacing w:line="276" w:lineRule="auto"/>
        <w:jc w:val="both"/>
        <w:rPr>
          <w:color w:val="auto"/>
        </w:rPr>
      </w:pPr>
    </w:p>
    <w:p w:rsidR="0097032C" w:rsidRPr="002934D0" w:rsidRDefault="0097032C" w:rsidP="0031412B">
      <w:pPr>
        <w:pStyle w:val="Default"/>
        <w:spacing w:line="276" w:lineRule="auto"/>
        <w:jc w:val="both"/>
        <w:rPr>
          <w:color w:val="auto"/>
        </w:rPr>
      </w:pPr>
      <w:r w:rsidRPr="002934D0">
        <w:rPr>
          <w:color w:val="auto"/>
        </w:rPr>
        <w:t xml:space="preserve">Maymunlarda 100 mg/kg/gün oral uygulamanın ardından toksisite, aynı dozda diğer hayvanlarda salivasyon, diyare ve üriner pH ile birlikte minimaldir. 6 aylık çalışmalarda toksisite görülmemiştir. (NOELs), 1 ve 6 aydan sonra sırasıyla 30 ve </w:t>
      </w:r>
      <w:proofErr w:type="gramStart"/>
      <w:r w:rsidRPr="002934D0">
        <w:rPr>
          <w:color w:val="auto"/>
        </w:rPr>
        <w:t>62.5</w:t>
      </w:r>
      <w:proofErr w:type="gramEnd"/>
      <w:r w:rsidRPr="002934D0">
        <w:rPr>
          <w:color w:val="auto"/>
        </w:rPr>
        <w:t xml:space="preserve"> mg/kg/gün olarak sonuçlandırılmıştır. </w:t>
      </w:r>
    </w:p>
    <w:p w:rsidR="0097032C" w:rsidRPr="002934D0" w:rsidRDefault="0097032C" w:rsidP="0031412B">
      <w:pPr>
        <w:pStyle w:val="Default"/>
        <w:spacing w:line="276" w:lineRule="auto"/>
        <w:jc w:val="both"/>
        <w:rPr>
          <w:color w:val="auto"/>
        </w:rPr>
      </w:pPr>
      <w:r w:rsidRPr="002934D0">
        <w:rPr>
          <w:color w:val="auto"/>
        </w:rPr>
        <w:t xml:space="preserve">6 aylık çalışmalarda NOELs maymun ve ratlarda sırasıyla 20 ve </w:t>
      </w:r>
      <w:proofErr w:type="gramStart"/>
      <w:r w:rsidRPr="002934D0">
        <w:rPr>
          <w:color w:val="auto"/>
        </w:rPr>
        <w:t>62.5</w:t>
      </w:r>
      <w:proofErr w:type="gramEnd"/>
      <w:r w:rsidRPr="002934D0">
        <w:rPr>
          <w:color w:val="auto"/>
        </w:rPr>
        <w:t xml:space="preserve"> mg/kg/gün olarak bulunmuştur. </w:t>
      </w:r>
    </w:p>
    <w:p w:rsidR="00E06750" w:rsidRPr="002934D0" w:rsidRDefault="00E06750" w:rsidP="0031412B">
      <w:pPr>
        <w:pStyle w:val="Default"/>
        <w:spacing w:line="276" w:lineRule="auto"/>
        <w:jc w:val="both"/>
        <w:rPr>
          <w:color w:val="auto"/>
        </w:rPr>
      </w:pPr>
    </w:p>
    <w:p w:rsidR="00960707" w:rsidRPr="002934D0" w:rsidRDefault="00960707" w:rsidP="0031412B">
      <w:pPr>
        <w:pStyle w:val="Default"/>
        <w:spacing w:line="276" w:lineRule="auto"/>
        <w:jc w:val="both"/>
        <w:rPr>
          <w:color w:val="auto"/>
        </w:rPr>
      </w:pPr>
    </w:p>
    <w:p w:rsidR="00E06750" w:rsidRPr="002934D0" w:rsidRDefault="0097032C" w:rsidP="0031412B">
      <w:pPr>
        <w:pStyle w:val="Default"/>
        <w:spacing w:line="276" w:lineRule="auto"/>
        <w:jc w:val="both"/>
        <w:rPr>
          <w:color w:val="auto"/>
        </w:rPr>
      </w:pPr>
      <w:r w:rsidRPr="002934D0">
        <w:rPr>
          <w:color w:val="auto"/>
          <w:u w:val="single"/>
        </w:rPr>
        <w:t>Reprodüktif toksisite:</w:t>
      </w:r>
      <w:r w:rsidRPr="002934D0">
        <w:rPr>
          <w:color w:val="auto"/>
        </w:rPr>
        <w:t xml:space="preserve"> </w:t>
      </w:r>
    </w:p>
    <w:p w:rsidR="0097032C" w:rsidRPr="002934D0" w:rsidRDefault="0097032C" w:rsidP="0031412B">
      <w:pPr>
        <w:pStyle w:val="Default"/>
        <w:spacing w:line="276" w:lineRule="auto"/>
        <w:jc w:val="both"/>
        <w:rPr>
          <w:color w:val="auto"/>
        </w:rPr>
      </w:pPr>
      <w:r w:rsidRPr="002934D0">
        <w:rPr>
          <w:color w:val="auto"/>
        </w:rPr>
        <w:t xml:space="preserve">Levofloksasin, ratlarda 360 mg/kg/gün gibi yüksek oral dozlarda veya 100 mg/kg/gün’e kadar intravenöz dozlarda fertilite veya reprodüktif performans bozukluğuna neden olmamıştır. </w:t>
      </w:r>
    </w:p>
    <w:p w:rsidR="0097032C" w:rsidRPr="002934D0" w:rsidRDefault="0097032C" w:rsidP="0031412B">
      <w:pPr>
        <w:pStyle w:val="Default"/>
        <w:spacing w:line="276" w:lineRule="auto"/>
        <w:jc w:val="both"/>
        <w:rPr>
          <w:color w:val="auto"/>
        </w:rPr>
      </w:pPr>
      <w:r w:rsidRPr="002934D0">
        <w:rPr>
          <w:color w:val="auto"/>
        </w:rPr>
        <w:t xml:space="preserve">Levofloksasin, ratlarda 810 mg/kg/gün gibi yüksek oral dozlarda veya 160 mg/kg/gün gibi yüksek intravenöz dozlarda teratojenik değildir. Tavşanlarda oral 50 mg/kg/gün’e kadar veya intravenöz 25 mg/kg/gün’e kadar dozlarda teratojenite gözlemlenmemiştir. </w:t>
      </w:r>
    </w:p>
    <w:p w:rsidR="0097032C" w:rsidRPr="002934D0" w:rsidRDefault="0097032C" w:rsidP="0031412B">
      <w:pPr>
        <w:pStyle w:val="Default"/>
        <w:spacing w:line="276" w:lineRule="auto"/>
        <w:jc w:val="both"/>
        <w:rPr>
          <w:color w:val="auto"/>
        </w:rPr>
      </w:pPr>
      <w:r w:rsidRPr="002934D0">
        <w:rPr>
          <w:color w:val="auto"/>
        </w:rPr>
        <w:t xml:space="preserve">Levofloksasinin fertilite üzerinde bir etkisi olmamıştır ve fötuslar üzerindeki tek etkisi maternal toksisiteye bağlı gecikmiş matürasyon olmuştur. </w:t>
      </w:r>
    </w:p>
    <w:p w:rsidR="00C12B5F" w:rsidRPr="002934D0" w:rsidRDefault="00C12B5F" w:rsidP="0031412B">
      <w:pPr>
        <w:spacing w:after="0"/>
        <w:jc w:val="both"/>
        <w:rPr>
          <w:rFonts w:ascii="Times New Roman" w:hAnsi="Times New Roman" w:cs="Times New Roman"/>
          <w:sz w:val="24"/>
          <w:szCs w:val="24"/>
        </w:rPr>
      </w:pPr>
    </w:p>
    <w:p w:rsidR="00C12B5F" w:rsidRPr="002934D0" w:rsidRDefault="0097032C" w:rsidP="0031412B">
      <w:pPr>
        <w:spacing w:after="0"/>
        <w:jc w:val="both"/>
        <w:rPr>
          <w:rFonts w:ascii="Times New Roman" w:hAnsi="Times New Roman" w:cs="Times New Roman"/>
          <w:sz w:val="24"/>
          <w:szCs w:val="24"/>
        </w:rPr>
      </w:pPr>
      <w:proofErr w:type="spellStart"/>
      <w:r w:rsidRPr="002934D0">
        <w:rPr>
          <w:rFonts w:ascii="Times New Roman" w:hAnsi="Times New Roman" w:cs="Times New Roman"/>
          <w:sz w:val="24"/>
          <w:szCs w:val="24"/>
          <w:u w:val="single"/>
        </w:rPr>
        <w:t>Genotoksisite</w:t>
      </w:r>
      <w:proofErr w:type="spellEnd"/>
      <w:r w:rsidRPr="002934D0">
        <w:rPr>
          <w:rFonts w:ascii="Times New Roman" w:hAnsi="Times New Roman" w:cs="Times New Roman"/>
          <w:sz w:val="24"/>
          <w:szCs w:val="24"/>
          <w:u w:val="single"/>
        </w:rPr>
        <w:t>:</w:t>
      </w:r>
      <w:r w:rsidRPr="002934D0">
        <w:rPr>
          <w:rFonts w:ascii="Times New Roman" w:hAnsi="Times New Roman" w:cs="Times New Roman"/>
          <w:sz w:val="24"/>
          <w:szCs w:val="24"/>
        </w:rPr>
        <w:t xml:space="preserve"> </w:t>
      </w:r>
    </w:p>
    <w:p w:rsidR="00616E59" w:rsidRPr="002934D0" w:rsidRDefault="0097032C"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Levofloksasin, bakteriyel veya memeli hücrelerinde gen mutasyonlarını indüklememiş, ancak 100 mcg/ml ve üzerindeki dozlarda, metabolik aktivasyonun yokluğunda, </w:t>
      </w:r>
      <w:r w:rsidRPr="002934D0">
        <w:rPr>
          <w:rFonts w:ascii="Times New Roman" w:hAnsi="Times New Roman" w:cs="Times New Roman"/>
          <w:i/>
          <w:iCs/>
          <w:sz w:val="24"/>
          <w:szCs w:val="24"/>
        </w:rPr>
        <w:t xml:space="preserve">in vitro </w:t>
      </w:r>
      <w:r w:rsidRPr="002934D0">
        <w:rPr>
          <w:rFonts w:ascii="Times New Roman" w:hAnsi="Times New Roman" w:cs="Times New Roman"/>
          <w:sz w:val="24"/>
          <w:szCs w:val="24"/>
        </w:rPr>
        <w:t xml:space="preserve">Çin hamsteri akciğer hücrelerinde kromozom aberasyonlarını indüklemiştir. </w:t>
      </w:r>
      <w:r w:rsidRPr="002934D0">
        <w:rPr>
          <w:rFonts w:ascii="Times New Roman" w:hAnsi="Times New Roman" w:cs="Times New Roman"/>
          <w:i/>
          <w:iCs/>
          <w:sz w:val="24"/>
          <w:szCs w:val="24"/>
        </w:rPr>
        <w:t xml:space="preserve">İn vivo </w:t>
      </w:r>
      <w:r w:rsidRPr="002934D0">
        <w:rPr>
          <w:rFonts w:ascii="Times New Roman" w:hAnsi="Times New Roman" w:cs="Times New Roman"/>
          <w:sz w:val="24"/>
          <w:szCs w:val="24"/>
        </w:rPr>
        <w:t>testler (mikronükleus, sister kromatid değişimi, zamansız DNA sentezi, dominant letal testler) herhangi bir genotoksik potansiyel göstermemiştir.</w:t>
      </w:r>
    </w:p>
    <w:p w:rsidR="00C12B5F" w:rsidRPr="002934D0" w:rsidRDefault="00C12B5F" w:rsidP="0031412B">
      <w:pPr>
        <w:pStyle w:val="Default"/>
        <w:spacing w:line="276" w:lineRule="auto"/>
        <w:jc w:val="both"/>
        <w:rPr>
          <w:color w:val="auto"/>
        </w:rPr>
      </w:pPr>
    </w:p>
    <w:p w:rsidR="00C12B5F" w:rsidRPr="002934D0" w:rsidRDefault="0097032C" w:rsidP="0031412B">
      <w:pPr>
        <w:pStyle w:val="Default"/>
        <w:spacing w:line="276" w:lineRule="auto"/>
        <w:jc w:val="both"/>
        <w:rPr>
          <w:color w:val="auto"/>
        </w:rPr>
      </w:pPr>
      <w:r w:rsidRPr="002934D0">
        <w:rPr>
          <w:color w:val="auto"/>
          <w:u w:val="single"/>
        </w:rPr>
        <w:t>Fototoksik potansiyel:</w:t>
      </w:r>
      <w:r w:rsidRPr="002934D0">
        <w:rPr>
          <w:color w:val="auto"/>
        </w:rPr>
        <w:t xml:space="preserve"> </w:t>
      </w:r>
    </w:p>
    <w:p w:rsidR="0097032C" w:rsidRPr="002934D0" w:rsidRDefault="0097032C" w:rsidP="0031412B">
      <w:pPr>
        <w:pStyle w:val="Default"/>
        <w:spacing w:line="276" w:lineRule="auto"/>
        <w:jc w:val="both"/>
        <w:rPr>
          <w:color w:val="auto"/>
        </w:rPr>
      </w:pPr>
      <w:r w:rsidRPr="002934D0">
        <w:rPr>
          <w:color w:val="auto"/>
        </w:rPr>
        <w:t xml:space="preserve">Levofloksasin, farelerde oral ve intravenöz dozlardan sonra, yalnızca çok yüksek dozlarda fototoksik aktiviteye sahip olduğunu göstermiştir. Levofloksasin, bir fotomutajenisite analizinde herhangi bir genotoksik potansiyel göstermemiştir ve bir fotokarsinojenisite analizinde tümör gelişimini azaltmıştır. </w:t>
      </w:r>
    </w:p>
    <w:p w:rsidR="00C12B5F" w:rsidRPr="002934D0" w:rsidRDefault="00C12B5F" w:rsidP="0031412B">
      <w:pPr>
        <w:pStyle w:val="Default"/>
        <w:spacing w:line="276" w:lineRule="auto"/>
        <w:jc w:val="both"/>
        <w:rPr>
          <w:color w:val="auto"/>
        </w:rPr>
      </w:pPr>
    </w:p>
    <w:p w:rsidR="00C12B5F" w:rsidRPr="002934D0" w:rsidRDefault="0097032C" w:rsidP="0031412B">
      <w:pPr>
        <w:pStyle w:val="Default"/>
        <w:spacing w:line="276" w:lineRule="auto"/>
        <w:jc w:val="both"/>
        <w:rPr>
          <w:color w:val="auto"/>
          <w:u w:val="single"/>
        </w:rPr>
      </w:pPr>
      <w:r w:rsidRPr="002934D0">
        <w:rPr>
          <w:color w:val="auto"/>
          <w:u w:val="single"/>
        </w:rPr>
        <w:t>Karsinojenik potansiyel:</w:t>
      </w:r>
    </w:p>
    <w:p w:rsidR="0097032C" w:rsidRPr="002934D0" w:rsidRDefault="0097032C" w:rsidP="0031412B">
      <w:pPr>
        <w:pStyle w:val="Default"/>
        <w:spacing w:line="276" w:lineRule="auto"/>
        <w:jc w:val="both"/>
        <w:rPr>
          <w:color w:val="auto"/>
        </w:rPr>
      </w:pPr>
      <w:r w:rsidRPr="002934D0">
        <w:rPr>
          <w:color w:val="auto"/>
        </w:rPr>
        <w:t xml:space="preserve">Ratlarda diyetle verilmesi ile iki yıllık bir çalışmada karsinojenik potansiyele ait gösterge görülmemiştir (0, 10, 30 ve 100 mg/kg/gün). </w:t>
      </w:r>
    </w:p>
    <w:p w:rsidR="00C12B5F" w:rsidRPr="002934D0" w:rsidRDefault="00C12B5F" w:rsidP="0031412B">
      <w:pPr>
        <w:spacing w:after="0"/>
        <w:jc w:val="both"/>
        <w:rPr>
          <w:rFonts w:ascii="Times New Roman" w:hAnsi="Times New Roman" w:cs="Times New Roman"/>
          <w:sz w:val="24"/>
          <w:szCs w:val="24"/>
        </w:rPr>
      </w:pPr>
    </w:p>
    <w:p w:rsidR="00C12B5F" w:rsidRPr="002934D0" w:rsidRDefault="0097032C"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u w:val="single"/>
        </w:rPr>
        <w:t>Eklemlere toksisite:</w:t>
      </w:r>
      <w:r w:rsidRPr="002934D0">
        <w:rPr>
          <w:rFonts w:ascii="Times New Roman" w:hAnsi="Times New Roman" w:cs="Times New Roman"/>
          <w:sz w:val="24"/>
          <w:szCs w:val="24"/>
        </w:rPr>
        <w:t xml:space="preserve"> </w:t>
      </w:r>
    </w:p>
    <w:p w:rsidR="0097032C" w:rsidRPr="002934D0" w:rsidRDefault="0097032C"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Diğer florokinolonlarda genellikle olduğu gibi, levofloksasin ratlarda ve köpeklerde kartilaj üzerinde etki göstermiştir (büllöz oluşum ve kaviteler). Bu bulgular genç hayvanlarda daha fazla dikkat çekmiştir.</w:t>
      </w:r>
    </w:p>
    <w:p w:rsidR="00C12B5F" w:rsidRPr="002934D0" w:rsidRDefault="00C12B5F" w:rsidP="0031412B">
      <w:pPr>
        <w:spacing w:after="0"/>
        <w:jc w:val="both"/>
        <w:rPr>
          <w:rFonts w:ascii="Times New Roman" w:hAnsi="Times New Roman" w:cs="Times New Roman"/>
          <w:sz w:val="24"/>
          <w:szCs w:val="24"/>
        </w:rPr>
      </w:pPr>
    </w:p>
    <w:p w:rsidR="00C93104" w:rsidRPr="002934D0" w:rsidRDefault="00C93104" w:rsidP="0031412B">
      <w:pPr>
        <w:pStyle w:val="ListeParagraf"/>
        <w:numPr>
          <w:ilvl w:val="0"/>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FARMASÖTİK ÖZELLİKLER</w:t>
      </w:r>
    </w:p>
    <w:p w:rsidR="00616E59" w:rsidRPr="002934D0" w:rsidRDefault="00616E59"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Yardımcı maddelerin listesi</w:t>
      </w:r>
    </w:p>
    <w:p w:rsidR="003C4F8C" w:rsidRPr="002934D0" w:rsidRDefault="003C4F8C" w:rsidP="0031412B">
      <w:pPr>
        <w:spacing w:after="0"/>
        <w:jc w:val="both"/>
        <w:rPr>
          <w:rFonts w:ascii="Times New Roman" w:hAnsi="Times New Roman"/>
          <w:sz w:val="24"/>
          <w:szCs w:val="24"/>
        </w:rPr>
      </w:pPr>
      <w:r w:rsidRPr="002934D0">
        <w:rPr>
          <w:rFonts w:ascii="Times New Roman" w:hAnsi="Times New Roman"/>
          <w:sz w:val="24"/>
          <w:szCs w:val="24"/>
        </w:rPr>
        <w:t>Krospovidon</w:t>
      </w:r>
    </w:p>
    <w:p w:rsidR="003C4F8C" w:rsidRPr="002934D0" w:rsidRDefault="003C4F8C" w:rsidP="0031412B">
      <w:pPr>
        <w:spacing w:after="0"/>
        <w:jc w:val="both"/>
        <w:rPr>
          <w:rFonts w:ascii="Times New Roman" w:hAnsi="Times New Roman"/>
          <w:sz w:val="24"/>
          <w:szCs w:val="24"/>
        </w:rPr>
      </w:pPr>
      <w:r w:rsidRPr="002934D0">
        <w:rPr>
          <w:rFonts w:ascii="Times New Roman" w:hAnsi="Times New Roman"/>
          <w:sz w:val="24"/>
          <w:szCs w:val="24"/>
        </w:rPr>
        <w:t xml:space="preserve">Hidroksipropil metilselüloz </w:t>
      </w:r>
    </w:p>
    <w:p w:rsidR="003C4F8C" w:rsidRPr="002934D0" w:rsidRDefault="003C4F8C" w:rsidP="0031412B">
      <w:pPr>
        <w:spacing w:after="0"/>
        <w:jc w:val="both"/>
        <w:rPr>
          <w:rFonts w:ascii="Times New Roman" w:hAnsi="Times New Roman"/>
          <w:sz w:val="24"/>
          <w:szCs w:val="24"/>
        </w:rPr>
      </w:pPr>
      <w:r w:rsidRPr="002934D0">
        <w:rPr>
          <w:rFonts w:ascii="Times New Roman" w:hAnsi="Times New Roman"/>
          <w:sz w:val="24"/>
          <w:szCs w:val="24"/>
        </w:rPr>
        <w:t xml:space="preserve">Mikrokristalin selüloz </w:t>
      </w:r>
    </w:p>
    <w:p w:rsidR="003C4F8C" w:rsidRPr="002934D0" w:rsidRDefault="003C4F8C" w:rsidP="0031412B">
      <w:pPr>
        <w:spacing w:after="0"/>
        <w:jc w:val="both"/>
        <w:rPr>
          <w:rFonts w:ascii="Times New Roman" w:hAnsi="Times New Roman"/>
          <w:sz w:val="24"/>
          <w:szCs w:val="24"/>
        </w:rPr>
      </w:pPr>
      <w:r w:rsidRPr="002934D0">
        <w:rPr>
          <w:rFonts w:ascii="Times New Roman" w:hAnsi="Times New Roman"/>
          <w:sz w:val="24"/>
          <w:szCs w:val="24"/>
        </w:rPr>
        <w:t>Sodyum stearil fumarat</w:t>
      </w:r>
    </w:p>
    <w:p w:rsidR="00960707" w:rsidRPr="002934D0" w:rsidRDefault="00960707" w:rsidP="0031412B">
      <w:pPr>
        <w:spacing w:after="0"/>
        <w:jc w:val="both"/>
        <w:rPr>
          <w:rFonts w:ascii="Times New Roman" w:hAnsi="Times New Roman"/>
          <w:sz w:val="24"/>
          <w:szCs w:val="24"/>
        </w:rPr>
      </w:pPr>
    </w:p>
    <w:p w:rsidR="003C4F8C" w:rsidRPr="002934D0" w:rsidRDefault="003C4F8C" w:rsidP="0031412B">
      <w:pPr>
        <w:spacing w:after="0"/>
        <w:jc w:val="both"/>
        <w:rPr>
          <w:rFonts w:ascii="Times New Roman" w:hAnsi="Times New Roman"/>
          <w:sz w:val="24"/>
          <w:szCs w:val="24"/>
        </w:rPr>
      </w:pPr>
      <w:r w:rsidRPr="002934D0">
        <w:rPr>
          <w:rFonts w:ascii="Times New Roman" w:hAnsi="Times New Roman"/>
          <w:sz w:val="24"/>
          <w:szCs w:val="24"/>
        </w:rPr>
        <w:t>Film kaplama (</w:t>
      </w:r>
      <w:proofErr w:type="spellStart"/>
      <w:r w:rsidRPr="002934D0">
        <w:rPr>
          <w:rFonts w:ascii="Times New Roman" w:hAnsi="Times New Roman"/>
          <w:sz w:val="24"/>
          <w:szCs w:val="24"/>
        </w:rPr>
        <w:t>Opadry</w:t>
      </w:r>
      <w:proofErr w:type="spellEnd"/>
      <w:r w:rsidRPr="002934D0">
        <w:rPr>
          <w:rFonts w:ascii="Times New Roman" w:hAnsi="Times New Roman"/>
          <w:sz w:val="24"/>
          <w:szCs w:val="24"/>
        </w:rPr>
        <w:t xml:space="preserve"> YS-1-18027</w:t>
      </w:r>
      <w:r w:rsidR="00EB1BE7" w:rsidRPr="002934D0">
        <w:rPr>
          <w:rFonts w:ascii="Times New Roman" w:hAnsi="Times New Roman"/>
          <w:sz w:val="24"/>
          <w:szCs w:val="24"/>
        </w:rPr>
        <w:t xml:space="preserve"> </w:t>
      </w:r>
      <w:r w:rsidRPr="002934D0">
        <w:rPr>
          <w:rFonts w:ascii="Times New Roman" w:hAnsi="Times New Roman"/>
          <w:sz w:val="24"/>
          <w:szCs w:val="24"/>
        </w:rPr>
        <w:t xml:space="preserve">A </w:t>
      </w:r>
      <w:proofErr w:type="spellStart"/>
      <w:r w:rsidRPr="002934D0">
        <w:rPr>
          <w:rFonts w:ascii="Times New Roman" w:hAnsi="Times New Roman"/>
          <w:sz w:val="24"/>
          <w:szCs w:val="24"/>
        </w:rPr>
        <w:t>White</w:t>
      </w:r>
      <w:proofErr w:type="spellEnd"/>
      <w:r w:rsidRPr="002934D0">
        <w:rPr>
          <w:rFonts w:ascii="Times New Roman" w:hAnsi="Times New Roman"/>
          <w:sz w:val="24"/>
          <w:szCs w:val="24"/>
        </w:rPr>
        <w:t xml:space="preserve">): </w:t>
      </w:r>
    </w:p>
    <w:p w:rsidR="003C4F8C" w:rsidRPr="002934D0" w:rsidRDefault="003C4F8C" w:rsidP="0031412B">
      <w:pPr>
        <w:spacing w:after="0"/>
        <w:jc w:val="both"/>
        <w:rPr>
          <w:rFonts w:ascii="Times New Roman" w:hAnsi="Times New Roman"/>
          <w:sz w:val="24"/>
          <w:szCs w:val="24"/>
        </w:rPr>
      </w:pPr>
      <w:r w:rsidRPr="002934D0">
        <w:rPr>
          <w:rFonts w:ascii="Times New Roman" w:hAnsi="Times New Roman"/>
          <w:sz w:val="24"/>
          <w:szCs w:val="24"/>
        </w:rPr>
        <w:t>Hidroksipropil metilselüloz</w:t>
      </w:r>
    </w:p>
    <w:p w:rsidR="003C4F8C" w:rsidRPr="002934D0" w:rsidRDefault="003C4F8C" w:rsidP="0031412B">
      <w:pPr>
        <w:spacing w:after="0"/>
        <w:jc w:val="both"/>
        <w:rPr>
          <w:rFonts w:ascii="Times New Roman" w:hAnsi="Times New Roman"/>
          <w:sz w:val="24"/>
          <w:szCs w:val="24"/>
        </w:rPr>
      </w:pPr>
      <w:r w:rsidRPr="002934D0">
        <w:rPr>
          <w:rFonts w:ascii="Times New Roman" w:hAnsi="Times New Roman"/>
          <w:sz w:val="24"/>
          <w:szCs w:val="24"/>
        </w:rPr>
        <w:t>Titanyum dioksit</w:t>
      </w:r>
    </w:p>
    <w:p w:rsidR="003C4F8C" w:rsidRPr="002934D0" w:rsidRDefault="003C4F8C" w:rsidP="0031412B">
      <w:pPr>
        <w:spacing w:after="0"/>
        <w:jc w:val="both"/>
        <w:rPr>
          <w:rFonts w:ascii="Times New Roman" w:hAnsi="Times New Roman"/>
          <w:sz w:val="24"/>
          <w:szCs w:val="24"/>
        </w:rPr>
      </w:pPr>
      <w:r w:rsidRPr="002934D0">
        <w:rPr>
          <w:rFonts w:ascii="Times New Roman" w:hAnsi="Times New Roman"/>
          <w:sz w:val="24"/>
          <w:szCs w:val="24"/>
        </w:rPr>
        <w:t>Polietilen glikol</w:t>
      </w:r>
    </w:p>
    <w:p w:rsidR="003C4F8C" w:rsidRPr="002934D0" w:rsidRDefault="003C4F8C" w:rsidP="0031412B">
      <w:pPr>
        <w:spacing w:after="0"/>
        <w:jc w:val="both"/>
        <w:rPr>
          <w:rFonts w:ascii="Times New Roman" w:hAnsi="Times New Roman"/>
          <w:sz w:val="24"/>
          <w:szCs w:val="24"/>
        </w:rPr>
      </w:pPr>
      <w:r w:rsidRPr="002934D0">
        <w:rPr>
          <w:rFonts w:ascii="Times New Roman" w:hAnsi="Times New Roman"/>
          <w:sz w:val="24"/>
          <w:szCs w:val="24"/>
        </w:rPr>
        <w:t>Polisorbat 80</w:t>
      </w:r>
    </w:p>
    <w:p w:rsidR="00616E59" w:rsidRPr="002934D0" w:rsidRDefault="00616E59" w:rsidP="0031412B">
      <w:pPr>
        <w:spacing w:after="0"/>
        <w:jc w:val="both"/>
        <w:rPr>
          <w:rFonts w:ascii="Times New Roman" w:hAnsi="Times New Roman" w:cs="Times New Roman"/>
          <w:sz w:val="24"/>
          <w:szCs w:val="24"/>
          <w:highlight w:val="yellow"/>
        </w:rPr>
      </w:pPr>
    </w:p>
    <w:p w:rsidR="00616E59" w:rsidRPr="002934D0" w:rsidRDefault="00616E59"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Geçimsizlikler</w:t>
      </w:r>
    </w:p>
    <w:p w:rsidR="0046695E" w:rsidRPr="002934D0" w:rsidRDefault="0046695E" w:rsidP="0031412B">
      <w:pPr>
        <w:tabs>
          <w:tab w:val="num" w:pos="0"/>
          <w:tab w:val="center" w:pos="260"/>
          <w:tab w:val="left" w:pos="390"/>
        </w:tabs>
        <w:spacing w:after="0"/>
        <w:jc w:val="both"/>
        <w:rPr>
          <w:rFonts w:ascii="Times New Roman" w:hAnsi="Times New Roman" w:cs="Times New Roman"/>
          <w:sz w:val="24"/>
          <w:szCs w:val="24"/>
        </w:rPr>
      </w:pPr>
      <w:r w:rsidRPr="002934D0">
        <w:rPr>
          <w:rFonts w:ascii="Times New Roman" w:hAnsi="Times New Roman" w:cs="Times New Roman"/>
          <w:sz w:val="24"/>
          <w:szCs w:val="24"/>
        </w:rPr>
        <w:t>Geçerli değildir.</w:t>
      </w:r>
    </w:p>
    <w:p w:rsidR="00616E59" w:rsidRPr="002934D0" w:rsidRDefault="00616E59" w:rsidP="0031412B">
      <w:pPr>
        <w:spacing w:after="0"/>
        <w:jc w:val="both"/>
        <w:rPr>
          <w:rFonts w:ascii="Times New Roman" w:hAnsi="Times New Roman" w:cs="Times New Roman"/>
          <w:sz w:val="24"/>
          <w:szCs w:val="24"/>
        </w:rPr>
      </w:pPr>
    </w:p>
    <w:p w:rsidR="00616E59" w:rsidRPr="002934D0" w:rsidRDefault="00616E59"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Raf ömrü</w:t>
      </w:r>
    </w:p>
    <w:p w:rsidR="0046695E" w:rsidRPr="002934D0" w:rsidRDefault="00EB1BE7" w:rsidP="0031412B">
      <w:pPr>
        <w:tabs>
          <w:tab w:val="num" w:pos="0"/>
          <w:tab w:val="center" w:pos="260"/>
          <w:tab w:val="left" w:pos="390"/>
        </w:tabs>
        <w:spacing w:after="0"/>
        <w:jc w:val="both"/>
        <w:rPr>
          <w:rFonts w:ascii="Times New Roman" w:hAnsi="Times New Roman" w:cs="Times New Roman"/>
          <w:sz w:val="24"/>
          <w:szCs w:val="24"/>
        </w:rPr>
      </w:pPr>
      <w:r w:rsidRPr="002934D0">
        <w:rPr>
          <w:rFonts w:ascii="Times New Roman" w:hAnsi="Times New Roman" w:cs="Times New Roman"/>
          <w:sz w:val="24"/>
          <w:szCs w:val="24"/>
        </w:rPr>
        <w:t>36</w:t>
      </w:r>
      <w:r w:rsidR="0046695E" w:rsidRPr="002934D0">
        <w:rPr>
          <w:rFonts w:ascii="Times New Roman" w:hAnsi="Times New Roman" w:cs="Times New Roman"/>
          <w:sz w:val="24"/>
          <w:szCs w:val="24"/>
        </w:rPr>
        <w:t xml:space="preserve"> Ay</w:t>
      </w:r>
    </w:p>
    <w:p w:rsidR="00616E59" w:rsidRPr="002934D0" w:rsidRDefault="00616E59" w:rsidP="0031412B">
      <w:pPr>
        <w:spacing w:after="0"/>
        <w:jc w:val="both"/>
        <w:rPr>
          <w:rFonts w:ascii="Times New Roman" w:hAnsi="Times New Roman" w:cs="Times New Roman"/>
          <w:sz w:val="24"/>
          <w:szCs w:val="24"/>
        </w:rPr>
      </w:pPr>
    </w:p>
    <w:p w:rsidR="00616E59" w:rsidRPr="002934D0" w:rsidRDefault="00616E59"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Saklamaya yönelik özel tedbirler</w:t>
      </w:r>
    </w:p>
    <w:p w:rsidR="0046695E" w:rsidRPr="002934D0" w:rsidRDefault="0046695E" w:rsidP="0031412B">
      <w:pPr>
        <w:tabs>
          <w:tab w:val="num" w:pos="0"/>
          <w:tab w:val="center" w:pos="260"/>
          <w:tab w:val="left" w:pos="390"/>
        </w:tabs>
        <w:spacing w:after="0"/>
        <w:jc w:val="both"/>
        <w:rPr>
          <w:rFonts w:ascii="Times New Roman" w:hAnsi="Times New Roman" w:cs="Times New Roman"/>
          <w:sz w:val="24"/>
          <w:szCs w:val="24"/>
        </w:rPr>
      </w:pPr>
      <w:r w:rsidRPr="002934D0">
        <w:rPr>
          <w:rFonts w:ascii="Times New Roman" w:hAnsi="Times New Roman" w:cs="Times New Roman"/>
          <w:sz w:val="24"/>
          <w:szCs w:val="24"/>
        </w:rPr>
        <w:t>25</w:t>
      </w:r>
      <w:r w:rsidRPr="002934D0">
        <w:rPr>
          <w:rFonts w:ascii="Times New Roman" w:hAnsi="Times New Roman" w:cs="Times New Roman"/>
          <w:sz w:val="24"/>
          <w:szCs w:val="24"/>
          <w:vertAlign w:val="superscript"/>
        </w:rPr>
        <w:t>o</w:t>
      </w:r>
      <w:r w:rsidRPr="002934D0">
        <w:rPr>
          <w:rFonts w:ascii="Times New Roman" w:hAnsi="Times New Roman" w:cs="Times New Roman"/>
          <w:sz w:val="24"/>
          <w:szCs w:val="24"/>
        </w:rPr>
        <w:t xml:space="preserve">C’nin altında oda sıcaklığında ışıktan koruyarak saklayınız.  </w:t>
      </w:r>
    </w:p>
    <w:p w:rsidR="00616E59" w:rsidRPr="002934D0" w:rsidRDefault="00616E59" w:rsidP="0031412B">
      <w:pPr>
        <w:spacing w:after="0"/>
        <w:jc w:val="both"/>
        <w:rPr>
          <w:rFonts w:ascii="Times New Roman" w:hAnsi="Times New Roman" w:cs="Times New Roman"/>
          <w:sz w:val="24"/>
          <w:szCs w:val="24"/>
        </w:rPr>
      </w:pPr>
    </w:p>
    <w:p w:rsidR="00616E59" w:rsidRPr="002934D0" w:rsidRDefault="00616E59"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Ambalajın niteliği ve içeriği</w:t>
      </w:r>
    </w:p>
    <w:p w:rsidR="0046695E" w:rsidRPr="002934D0" w:rsidRDefault="0046695E" w:rsidP="0031412B">
      <w:pPr>
        <w:tabs>
          <w:tab w:val="num" w:pos="0"/>
          <w:tab w:val="center" w:pos="260"/>
          <w:tab w:val="left" w:pos="390"/>
        </w:tabs>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Bir yüzü şeffaf PVDC, diğer yüzü üzeri baskılı alüminyum folyo kaplı, 7 film tabletlik blister. </w:t>
      </w:r>
    </w:p>
    <w:p w:rsidR="0046695E" w:rsidRPr="002934D0" w:rsidRDefault="0046695E" w:rsidP="0031412B">
      <w:pPr>
        <w:tabs>
          <w:tab w:val="num" w:pos="0"/>
          <w:tab w:val="center" w:pos="260"/>
          <w:tab w:val="left" w:pos="390"/>
        </w:tabs>
        <w:spacing w:after="0"/>
        <w:jc w:val="both"/>
        <w:rPr>
          <w:rFonts w:ascii="Times New Roman" w:hAnsi="Times New Roman" w:cs="Times New Roman"/>
          <w:sz w:val="24"/>
          <w:szCs w:val="24"/>
        </w:rPr>
      </w:pPr>
      <w:r w:rsidRPr="002934D0">
        <w:rPr>
          <w:rFonts w:ascii="Times New Roman" w:hAnsi="Times New Roman" w:cs="Times New Roman"/>
          <w:sz w:val="24"/>
          <w:szCs w:val="24"/>
        </w:rPr>
        <w:t>Her karton kutu 7 film tablet içermektedir.</w:t>
      </w:r>
    </w:p>
    <w:p w:rsidR="00616E59" w:rsidRPr="002934D0" w:rsidRDefault="00616E59" w:rsidP="0031412B">
      <w:pPr>
        <w:spacing w:after="0"/>
        <w:jc w:val="both"/>
        <w:rPr>
          <w:rFonts w:ascii="Times New Roman" w:hAnsi="Times New Roman" w:cs="Times New Roman"/>
          <w:sz w:val="24"/>
          <w:szCs w:val="24"/>
        </w:rPr>
      </w:pPr>
    </w:p>
    <w:p w:rsidR="00616E59" w:rsidRPr="002934D0" w:rsidRDefault="00616E59" w:rsidP="0031412B">
      <w:pPr>
        <w:pStyle w:val="ListeParagraf"/>
        <w:numPr>
          <w:ilvl w:val="1"/>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Beşeri tıbbi üründen arta kalan maddelerin imhası ve diğer özel önlemler</w:t>
      </w:r>
    </w:p>
    <w:p w:rsidR="0046695E" w:rsidRPr="002934D0" w:rsidRDefault="0046695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Kullanılmamış olan ürünler ya da atık materyaller “Tıbbi Atıkların Kontrolü Yönetmeliği” ve Ambalaj ve Ambalaj Atıklarının Kontrolü Yönetmelik”lerine uygun olarak imha edilmelidir. </w:t>
      </w:r>
    </w:p>
    <w:p w:rsidR="00616E59" w:rsidRPr="002934D0" w:rsidRDefault="00616E59" w:rsidP="0031412B">
      <w:pPr>
        <w:spacing w:after="0"/>
        <w:jc w:val="both"/>
        <w:rPr>
          <w:rFonts w:ascii="Times New Roman" w:hAnsi="Times New Roman" w:cs="Times New Roman"/>
          <w:sz w:val="24"/>
          <w:szCs w:val="24"/>
        </w:rPr>
      </w:pPr>
    </w:p>
    <w:p w:rsidR="00C93104" w:rsidRPr="002934D0" w:rsidRDefault="00C93104" w:rsidP="0031412B">
      <w:pPr>
        <w:pStyle w:val="ListeParagraf"/>
        <w:numPr>
          <w:ilvl w:val="0"/>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RUHSAT SAHİBİ</w:t>
      </w:r>
    </w:p>
    <w:p w:rsidR="0046695E" w:rsidRPr="002934D0" w:rsidRDefault="0046695E" w:rsidP="0031412B">
      <w:pPr>
        <w:keepNext/>
        <w:spacing w:after="0"/>
        <w:jc w:val="both"/>
        <w:outlineLvl w:val="1"/>
        <w:rPr>
          <w:rFonts w:ascii="Times New Roman" w:hAnsi="Times New Roman" w:cs="Times New Roman"/>
          <w:sz w:val="24"/>
          <w:szCs w:val="24"/>
        </w:rPr>
      </w:pPr>
      <w:r w:rsidRPr="002934D0">
        <w:rPr>
          <w:rFonts w:ascii="Times New Roman" w:hAnsi="Times New Roman" w:cs="Times New Roman"/>
          <w:sz w:val="24"/>
          <w:szCs w:val="24"/>
        </w:rPr>
        <w:t>Deva Holding A.Ş.</w:t>
      </w:r>
    </w:p>
    <w:p w:rsidR="0046695E" w:rsidRPr="002934D0" w:rsidRDefault="0046695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Halkalı Merkez Mah. Basın Ekspres Cad.</w:t>
      </w:r>
    </w:p>
    <w:p w:rsidR="0046695E" w:rsidRPr="002934D0" w:rsidRDefault="0046695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34303 No:1 Küçükçekmece/İstanbul</w:t>
      </w:r>
    </w:p>
    <w:p w:rsidR="00B7377D" w:rsidRPr="002934D0" w:rsidRDefault="00B7377D" w:rsidP="0031412B">
      <w:pPr>
        <w:spacing w:after="0"/>
        <w:jc w:val="both"/>
        <w:rPr>
          <w:rFonts w:ascii="Times New Roman" w:hAnsi="Times New Roman"/>
          <w:sz w:val="24"/>
          <w:szCs w:val="24"/>
        </w:rPr>
      </w:pPr>
      <w:r w:rsidRPr="002934D0">
        <w:rPr>
          <w:rFonts w:ascii="Times New Roman" w:hAnsi="Times New Roman"/>
          <w:sz w:val="24"/>
          <w:szCs w:val="24"/>
        </w:rPr>
        <w:t>Tel:    0212 692 92 92</w:t>
      </w:r>
    </w:p>
    <w:p w:rsidR="00B7377D" w:rsidRPr="002934D0" w:rsidRDefault="00B7377D" w:rsidP="0031412B">
      <w:pPr>
        <w:spacing w:after="0"/>
        <w:jc w:val="both"/>
        <w:rPr>
          <w:rFonts w:ascii="Times New Roman" w:hAnsi="Times New Roman"/>
          <w:sz w:val="24"/>
          <w:szCs w:val="24"/>
        </w:rPr>
      </w:pPr>
      <w:r w:rsidRPr="002934D0">
        <w:rPr>
          <w:rFonts w:ascii="Times New Roman" w:hAnsi="Times New Roman"/>
          <w:sz w:val="24"/>
          <w:szCs w:val="24"/>
        </w:rPr>
        <w:t xml:space="preserve">Faks: 0212 697 00 24 </w:t>
      </w:r>
    </w:p>
    <w:p w:rsidR="00616E59" w:rsidRPr="002934D0" w:rsidRDefault="00616E59" w:rsidP="0031412B">
      <w:pPr>
        <w:spacing w:after="0"/>
        <w:jc w:val="both"/>
        <w:rPr>
          <w:rFonts w:ascii="Times New Roman" w:hAnsi="Times New Roman" w:cs="Times New Roman"/>
          <w:sz w:val="24"/>
          <w:szCs w:val="24"/>
        </w:rPr>
      </w:pPr>
    </w:p>
    <w:p w:rsidR="00C93104" w:rsidRPr="002934D0" w:rsidRDefault="00C93104" w:rsidP="0031412B">
      <w:pPr>
        <w:pStyle w:val="ListeParagraf"/>
        <w:numPr>
          <w:ilvl w:val="0"/>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RUHSAT NUMARASI(LARI)</w:t>
      </w:r>
    </w:p>
    <w:p w:rsidR="0046695E" w:rsidRPr="002934D0" w:rsidRDefault="0046695E" w:rsidP="0031412B">
      <w:pPr>
        <w:tabs>
          <w:tab w:val="num" w:pos="0"/>
          <w:tab w:val="center" w:pos="260"/>
          <w:tab w:val="left" w:pos="390"/>
        </w:tabs>
        <w:spacing w:after="0"/>
        <w:jc w:val="both"/>
        <w:rPr>
          <w:rFonts w:ascii="Times New Roman" w:hAnsi="Times New Roman" w:cs="Times New Roman"/>
          <w:sz w:val="24"/>
          <w:szCs w:val="24"/>
        </w:rPr>
      </w:pPr>
      <w:r w:rsidRPr="002934D0">
        <w:rPr>
          <w:rFonts w:ascii="Times New Roman" w:hAnsi="Times New Roman" w:cs="Times New Roman"/>
          <w:sz w:val="24"/>
          <w:szCs w:val="24"/>
        </w:rPr>
        <w:t>216/19</w:t>
      </w:r>
    </w:p>
    <w:p w:rsidR="00616E59" w:rsidRPr="002934D0" w:rsidRDefault="00616E59" w:rsidP="0031412B">
      <w:pPr>
        <w:spacing w:after="0"/>
        <w:jc w:val="both"/>
        <w:rPr>
          <w:rFonts w:ascii="Times New Roman" w:hAnsi="Times New Roman" w:cs="Times New Roman"/>
          <w:sz w:val="24"/>
          <w:szCs w:val="24"/>
        </w:rPr>
      </w:pPr>
    </w:p>
    <w:p w:rsidR="00C93104" w:rsidRPr="002934D0" w:rsidRDefault="00C93104" w:rsidP="0031412B">
      <w:pPr>
        <w:pStyle w:val="ListeParagraf"/>
        <w:numPr>
          <w:ilvl w:val="0"/>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İLK RUHSAT TARİHİ/RUHSAT YENİLEME TARİHİ</w:t>
      </w:r>
    </w:p>
    <w:p w:rsidR="0046695E" w:rsidRPr="002934D0" w:rsidRDefault="0046695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İlk ruhsat tarihi: 09.06.2008</w:t>
      </w:r>
    </w:p>
    <w:p w:rsidR="0046695E" w:rsidRPr="002934D0" w:rsidRDefault="0046695E" w:rsidP="0031412B">
      <w:pPr>
        <w:spacing w:after="0"/>
        <w:jc w:val="both"/>
        <w:rPr>
          <w:rFonts w:ascii="Times New Roman" w:hAnsi="Times New Roman" w:cs="Times New Roman"/>
          <w:sz w:val="24"/>
          <w:szCs w:val="24"/>
        </w:rPr>
      </w:pPr>
      <w:r w:rsidRPr="002934D0">
        <w:rPr>
          <w:rFonts w:ascii="Times New Roman" w:hAnsi="Times New Roman" w:cs="Times New Roman"/>
          <w:sz w:val="24"/>
          <w:szCs w:val="24"/>
        </w:rPr>
        <w:t xml:space="preserve">Ruhsat yenileme tarihi: </w:t>
      </w:r>
    </w:p>
    <w:p w:rsidR="00616E59" w:rsidRPr="002934D0" w:rsidRDefault="00616E59" w:rsidP="0031412B">
      <w:pPr>
        <w:spacing w:after="0"/>
        <w:jc w:val="both"/>
        <w:rPr>
          <w:rFonts w:ascii="Times New Roman" w:hAnsi="Times New Roman" w:cs="Times New Roman"/>
          <w:sz w:val="24"/>
          <w:szCs w:val="24"/>
        </w:rPr>
      </w:pPr>
    </w:p>
    <w:p w:rsidR="00C93104" w:rsidRPr="002934D0" w:rsidRDefault="00C93104" w:rsidP="0031412B">
      <w:pPr>
        <w:pStyle w:val="ListeParagraf"/>
        <w:numPr>
          <w:ilvl w:val="0"/>
          <w:numId w:val="1"/>
        </w:numPr>
        <w:spacing w:after="0"/>
        <w:ind w:left="426" w:hanging="426"/>
        <w:jc w:val="both"/>
        <w:rPr>
          <w:rFonts w:ascii="Times New Roman" w:hAnsi="Times New Roman" w:cs="Times New Roman"/>
          <w:b/>
          <w:sz w:val="24"/>
          <w:szCs w:val="24"/>
        </w:rPr>
      </w:pPr>
      <w:r w:rsidRPr="002934D0">
        <w:rPr>
          <w:rFonts w:ascii="Times New Roman" w:hAnsi="Times New Roman" w:cs="Times New Roman"/>
          <w:b/>
          <w:sz w:val="24"/>
          <w:szCs w:val="24"/>
        </w:rPr>
        <w:t>KÜB’ÜN YENİLENME TARİHİ</w:t>
      </w:r>
    </w:p>
    <w:p w:rsidR="00616E59" w:rsidRPr="002934D0" w:rsidRDefault="00616E59" w:rsidP="0031412B">
      <w:pPr>
        <w:spacing w:after="0"/>
        <w:jc w:val="both"/>
        <w:rPr>
          <w:rFonts w:ascii="Times New Roman" w:hAnsi="Times New Roman" w:cs="Times New Roman"/>
          <w:sz w:val="24"/>
          <w:szCs w:val="24"/>
        </w:rPr>
      </w:pPr>
    </w:p>
    <w:sectPr w:rsidR="00616E59" w:rsidRPr="002934D0"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1D5" w:rsidRDefault="007471D5" w:rsidP="00F33D2C">
      <w:pPr>
        <w:spacing w:after="0" w:line="240" w:lineRule="auto"/>
      </w:pPr>
      <w:r>
        <w:separator/>
      </w:r>
    </w:p>
  </w:endnote>
  <w:endnote w:type="continuationSeparator" w:id="0">
    <w:p w:rsidR="007471D5" w:rsidRDefault="007471D5"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7471D5" w:rsidRPr="00F33D2C" w:rsidRDefault="007471D5">
            <w:pPr>
              <w:pStyle w:val="Altbilgi"/>
              <w:jc w:val="right"/>
            </w:pPr>
            <w:fldSimple w:instr="PAGE">
              <w:r w:rsidR="00736A9B">
                <w:rPr>
                  <w:noProof/>
                </w:rPr>
                <w:t>12</w:t>
              </w:r>
            </w:fldSimple>
            <w:r w:rsidRPr="00F33D2C">
              <w:t xml:space="preserve"> / </w:t>
            </w:r>
            <w:fldSimple w:instr="NUMPAGES">
              <w:r w:rsidR="00736A9B">
                <w:rPr>
                  <w:noProof/>
                </w:rPr>
                <w:t>18</w:t>
              </w:r>
            </w:fldSimple>
          </w:p>
        </w:sdtContent>
      </w:sdt>
    </w:sdtContent>
  </w:sdt>
  <w:p w:rsidR="007471D5" w:rsidRDefault="007471D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1D5" w:rsidRDefault="007471D5" w:rsidP="00F33D2C">
      <w:pPr>
        <w:spacing w:after="0" w:line="240" w:lineRule="auto"/>
      </w:pPr>
      <w:r>
        <w:separator/>
      </w:r>
    </w:p>
  </w:footnote>
  <w:footnote w:type="continuationSeparator" w:id="0">
    <w:p w:rsidR="007471D5" w:rsidRDefault="007471D5"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456C"/>
    <w:multiLevelType w:val="hybridMultilevel"/>
    <w:tmpl w:val="8C1EE3BC"/>
    <w:lvl w:ilvl="0" w:tplc="5880A544">
      <w:start w:val="50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2D51AA"/>
    <w:multiLevelType w:val="hybridMultilevel"/>
    <w:tmpl w:val="E1B68098"/>
    <w:lvl w:ilvl="0" w:tplc="041F0001">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8D94D8E"/>
    <w:multiLevelType w:val="hybridMultilevel"/>
    <w:tmpl w:val="EA0AF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108A"/>
    <w:rsid w:val="00011B54"/>
    <w:rsid w:val="00023497"/>
    <w:rsid w:val="00043C1F"/>
    <w:rsid w:val="00052423"/>
    <w:rsid w:val="00055EF1"/>
    <w:rsid w:val="000F6C19"/>
    <w:rsid w:val="00107429"/>
    <w:rsid w:val="00153D18"/>
    <w:rsid w:val="001A3ADE"/>
    <w:rsid w:val="001C0108"/>
    <w:rsid w:val="00252F3E"/>
    <w:rsid w:val="002934D0"/>
    <w:rsid w:val="002D3C87"/>
    <w:rsid w:val="002F6C9D"/>
    <w:rsid w:val="0031412B"/>
    <w:rsid w:val="003151FE"/>
    <w:rsid w:val="003213FE"/>
    <w:rsid w:val="003842FC"/>
    <w:rsid w:val="0038505A"/>
    <w:rsid w:val="003C4F8C"/>
    <w:rsid w:val="003D7F33"/>
    <w:rsid w:val="0046695E"/>
    <w:rsid w:val="00487814"/>
    <w:rsid w:val="004A0C2D"/>
    <w:rsid w:val="004D0591"/>
    <w:rsid w:val="00534C3A"/>
    <w:rsid w:val="0054701D"/>
    <w:rsid w:val="00616E59"/>
    <w:rsid w:val="0063506D"/>
    <w:rsid w:val="006C12DA"/>
    <w:rsid w:val="006D4715"/>
    <w:rsid w:val="00706B44"/>
    <w:rsid w:val="00736A9B"/>
    <w:rsid w:val="007471D5"/>
    <w:rsid w:val="0079364B"/>
    <w:rsid w:val="007C1E6E"/>
    <w:rsid w:val="007F7907"/>
    <w:rsid w:val="008015C4"/>
    <w:rsid w:val="00822066"/>
    <w:rsid w:val="00825952"/>
    <w:rsid w:val="008567F6"/>
    <w:rsid w:val="008656F0"/>
    <w:rsid w:val="008B60B7"/>
    <w:rsid w:val="008D26F8"/>
    <w:rsid w:val="008E4099"/>
    <w:rsid w:val="00910CFB"/>
    <w:rsid w:val="009541EA"/>
    <w:rsid w:val="00960707"/>
    <w:rsid w:val="00960FD4"/>
    <w:rsid w:val="009635B8"/>
    <w:rsid w:val="0097032C"/>
    <w:rsid w:val="009D194E"/>
    <w:rsid w:val="009E7ED1"/>
    <w:rsid w:val="00A06C3C"/>
    <w:rsid w:val="00A30048"/>
    <w:rsid w:val="00A41B9F"/>
    <w:rsid w:val="00A93BB2"/>
    <w:rsid w:val="00AA34D5"/>
    <w:rsid w:val="00AE4ED7"/>
    <w:rsid w:val="00B04B5A"/>
    <w:rsid w:val="00B47AC7"/>
    <w:rsid w:val="00B7377D"/>
    <w:rsid w:val="00BE6FEB"/>
    <w:rsid w:val="00BF2537"/>
    <w:rsid w:val="00BF3C47"/>
    <w:rsid w:val="00C0350F"/>
    <w:rsid w:val="00C12B5F"/>
    <w:rsid w:val="00C72698"/>
    <w:rsid w:val="00C8108A"/>
    <w:rsid w:val="00C93104"/>
    <w:rsid w:val="00D14FF6"/>
    <w:rsid w:val="00DC5107"/>
    <w:rsid w:val="00E06750"/>
    <w:rsid w:val="00E23F1C"/>
    <w:rsid w:val="00E323B3"/>
    <w:rsid w:val="00E53756"/>
    <w:rsid w:val="00E90C81"/>
    <w:rsid w:val="00EB007B"/>
    <w:rsid w:val="00EB1BE7"/>
    <w:rsid w:val="00ED220F"/>
    <w:rsid w:val="00F33D2C"/>
    <w:rsid w:val="00F80384"/>
    <w:rsid w:val="00F82045"/>
    <w:rsid w:val="00F9639A"/>
    <w:rsid w:val="00FA46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paragraph" w:customStyle="1" w:styleId="Default">
    <w:name w:val="Default"/>
    <w:rsid w:val="00BF253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A30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067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67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20420-8761-48B2-AF07-4F73E101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5597</Words>
  <Characters>31903</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37426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esecgel</cp:lastModifiedBy>
  <cp:revision>12</cp:revision>
  <cp:lastPrinted>2014-07-09T10:33:00Z</cp:lastPrinted>
  <dcterms:created xsi:type="dcterms:W3CDTF">2013-05-16T07:58:00Z</dcterms:created>
  <dcterms:modified xsi:type="dcterms:W3CDTF">2014-07-09T11:03:00Z</dcterms:modified>
</cp:coreProperties>
</file>