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B10B71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B10B71" w:rsidRDefault="00C93104" w:rsidP="00C931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013851" w:rsidRPr="00B10B71" w:rsidRDefault="00013851" w:rsidP="00013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FLOXİLEVO 500 mg/100 ml IV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</w:t>
      </w:r>
    </w:p>
    <w:p w:rsidR="00013851" w:rsidRPr="00B10B71" w:rsidRDefault="0001385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043C1F" w:rsidRPr="00B10B71" w:rsidRDefault="00043C1F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Etkin madde:</w:t>
      </w:r>
    </w:p>
    <w:p w:rsidR="00013851" w:rsidRPr="00B10B71" w:rsidRDefault="0001385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100 ml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çözeltisi,</w:t>
      </w:r>
    </w:p>
    <w:p w:rsidR="00013851" w:rsidRPr="00B10B71" w:rsidRDefault="00013851" w:rsidP="003E6D5D">
      <w:pPr>
        <w:tabs>
          <w:tab w:val="right" w:pos="3828"/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500 mg</w:t>
      </w:r>
      <w:r w:rsidR="003E6D5D" w:rsidRPr="00B10B7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3E6D5D"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="003E6D5D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D5D" w:rsidRPr="00B10B71">
        <w:rPr>
          <w:rFonts w:ascii="Times New Roman" w:hAnsi="Times New Roman" w:cs="Times New Roman"/>
          <w:sz w:val="24"/>
          <w:szCs w:val="24"/>
        </w:rPr>
        <w:t>hemihidrat</w:t>
      </w:r>
      <w:proofErr w:type="spellEnd"/>
      <w:r w:rsidR="003E6D5D" w:rsidRPr="00B10B71">
        <w:rPr>
          <w:rFonts w:ascii="Times New Roman" w:hAnsi="Times New Roman" w:cs="Times New Roman"/>
          <w:sz w:val="24"/>
          <w:szCs w:val="24"/>
        </w:rPr>
        <w:t xml:space="preserve"> halinde)</w:t>
      </w:r>
    </w:p>
    <w:p w:rsidR="00043C1F" w:rsidRPr="00B10B71" w:rsidRDefault="00043C1F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Yardımcı madde(</w:t>
      </w: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Pr="00B10B71">
        <w:rPr>
          <w:rFonts w:ascii="Times New Roman" w:hAnsi="Times New Roman" w:cs="Times New Roman"/>
          <w:b/>
          <w:sz w:val="24"/>
          <w:szCs w:val="24"/>
        </w:rPr>
        <w:t>):</w:t>
      </w:r>
    </w:p>
    <w:p w:rsidR="0061081F" w:rsidRPr="00B10B71" w:rsidRDefault="0061081F" w:rsidP="0061081F">
      <w:pPr>
        <w:tabs>
          <w:tab w:val="righ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Sodyum klorür</w:t>
      </w:r>
      <w:r w:rsidRPr="00B10B7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900 mg</w:t>
      </w:r>
    </w:p>
    <w:p w:rsidR="0061081F" w:rsidRPr="00B10B71" w:rsidRDefault="0061081F" w:rsidP="0061081F">
      <w:pPr>
        <w:tabs>
          <w:tab w:val="righ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Sodyum hidroksit</w:t>
      </w:r>
      <w:r w:rsidRPr="00B10B7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k.m.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616E59" w:rsidRPr="00B10B71" w:rsidRDefault="003E6D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</w:t>
      </w:r>
      <w:r w:rsidR="009E5977" w:rsidRPr="00B10B71">
        <w:rPr>
          <w:rFonts w:ascii="Times New Roman" w:hAnsi="Times New Roman" w:cs="Times New Roman"/>
          <w:sz w:val="24"/>
          <w:szCs w:val="24"/>
        </w:rPr>
        <w:t xml:space="preserve">ardımcı maddeler için </w:t>
      </w:r>
      <w:proofErr w:type="gramStart"/>
      <w:r w:rsidR="009E5977" w:rsidRPr="00B10B71">
        <w:rPr>
          <w:rFonts w:ascii="Times New Roman" w:hAnsi="Times New Roman" w:cs="Times New Roman"/>
          <w:sz w:val="24"/>
          <w:szCs w:val="24"/>
        </w:rPr>
        <w:t>6.1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="009E5977" w:rsidRPr="00B10B7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E5977" w:rsidRPr="00B10B71">
        <w:rPr>
          <w:rFonts w:ascii="Times New Roman" w:hAnsi="Times New Roman" w:cs="Times New Roman"/>
          <w:sz w:val="24"/>
          <w:szCs w:val="24"/>
        </w:rPr>
        <w:t xml:space="preserve"> bakınız.</w:t>
      </w:r>
    </w:p>
    <w:p w:rsidR="009E5977" w:rsidRPr="00B10B71" w:rsidRDefault="009E597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FARMASOTİK FORM</w:t>
      </w:r>
    </w:p>
    <w:p w:rsidR="00616E59" w:rsidRPr="00B10B71" w:rsidRDefault="0079070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</w:t>
      </w:r>
    </w:p>
    <w:p w:rsidR="00790707" w:rsidRPr="00B10B71" w:rsidRDefault="0079070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Sarımsı renkte, yabancı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partikül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içermeyen berrak çözelti</w:t>
      </w:r>
    </w:p>
    <w:p w:rsidR="00790707" w:rsidRPr="00B10B71" w:rsidRDefault="0079070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B10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FLOXİLEVO,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duyarlı mikroorganizmaların etken olduğu aşağıda belirtilen erişkinlerdeki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enfeksiyonların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tedavisinde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:</w:t>
      </w:r>
    </w:p>
    <w:p w:rsidR="00790707" w:rsidRPr="00B10B71" w:rsidRDefault="00790707" w:rsidP="00790707">
      <w:pPr>
        <w:pStyle w:val="ListeParagraf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Toplumda edinilmiş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pnömoni</w:t>
      </w:r>
      <w:proofErr w:type="spellEnd"/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(penisilin için MİK değeri ≥ 2 µg/ml olan penisiline dirençli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parainfluenzae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Moraxella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Chlamydia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pneumophila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Cs/>
          <w:sz w:val="24"/>
          <w:szCs w:val="24"/>
        </w:rPr>
        <w:t>veya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Mycoplasma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iCs/>
          <w:sz w:val="24"/>
          <w:szCs w:val="24"/>
        </w:rPr>
        <w:t>nin</w:t>
      </w:r>
      <w:proofErr w:type="spellEnd"/>
      <w:r w:rsidRPr="00B10B71">
        <w:rPr>
          <w:rFonts w:ascii="Times New Roman" w:hAnsi="Times New Roman" w:cs="Times New Roman"/>
          <w:iCs/>
          <w:sz w:val="24"/>
          <w:szCs w:val="24"/>
        </w:rPr>
        <w:t xml:space="preserve"> neden olduğu</w:t>
      </w:r>
    </w:p>
    <w:p w:rsidR="00790707" w:rsidRPr="00B10B71" w:rsidRDefault="00790707" w:rsidP="00815E72">
      <w:pPr>
        <w:pStyle w:val="ListeParagraf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Piyelonefrit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, komplikasyonlu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sistem enfeksiyonları</w:t>
      </w:r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neden olduğu akut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piyelonefrit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cloacae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mirabilis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Cs/>
          <w:sz w:val="24"/>
          <w:szCs w:val="24"/>
        </w:rPr>
        <w:t>veya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neden olduğu</w:t>
      </w:r>
    </w:p>
    <w:p w:rsidR="00790707" w:rsidRPr="00B10B71" w:rsidRDefault="00790707" w:rsidP="00815E72">
      <w:pPr>
        <w:pStyle w:val="ListeParagraf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Prostatit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:</w:t>
      </w:r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ya da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neden olduğu</w:t>
      </w:r>
    </w:p>
    <w:p w:rsidR="00BE63C3" w:rsidRPr="00B10B71" w:rsidRDefault="00BE63C3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07" w:rsidRPr="00B10B71" w:rsidRDefault="00790707" w:rsidP="00815E72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Deri ve yumuşak doku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="00815E7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duyarlı</w:t>
      </w:r>
      <w:r w:rsidR="00815E7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815E72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15E72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="00815E72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15E72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="00815E72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pyogenes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Cs/>
          <w:sz w:val="24"/>
          <w:szCs w:val="24"/>
        </w:rPr>
        <w:t xml:space="preserve">veya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mirabilis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neden olduğu komplikasyonlu deri ve deri ekleri enfeksiyonları ve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pyogenes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neden olduğu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abse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selülit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furonkül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impetigo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piyoderma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yara enfeksiyonlarının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olduğu komplikasyonsuz deri ve deri ekleri enfeksiyonları</w:t>
      </w:r>
    </w:p>
    <w:p w:rsidR="00790707" w:rsidRPr="00B10B71" w:rsidRDefault="00790707" w:rsidP="00254729">
      <w:pPr>
        <w:pStyle w:val="ListeParagraf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Hastanede edinilmiş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pnömoni</w:t>
      </w:r>
      <w:proofErr w:type="spellEnd"/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marcescens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aerogenes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ya da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0B71">
        <w:rPr>
          <w:rFonts w:ascii="Times New Roman" w:hAnsi="Times New Roman" w:cs="Times New Roman"/>
          <w:sz w:val="24"/>
          <w:szCs w:val="24"/>
        </w:rPr>
        <w:t>Rapor edilen</w:t>
      </w:r>
      <w:r w:rsidR="00815E7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 da şüphelenilen patojenin</w:t>
      </w:r>
      <w:r w:rsidR="00815E7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olması halinde bir anti-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psödomonal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kombine tedavi önerilir.</w:t>
      </w:r>
    </w:p>
    <w:p w:rsidR="00790707" w:rsidRPr="00B10B71" w:rsidRDefault="00790707" w:rsidP="00254729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Şarbon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İnhalasyonu</w:t>
      </w:r>
      <w:proofErr w:type="spellEnd"/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Havaya karışmış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antracis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maruziyet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sonrası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profilaksi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küratif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tedavi</w:t>
      </w:r>
    </w:p>
    <w:p w:rsidR="00790707" w:rsidRPr="00B10B71" w:rsidRDefault="00790707" w:rsidP="007907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ajanların uygun kullanımı ve patojenlerin yerel duyarlılığı konusunda, resmi ulusal kılavuzlar dikka</w:t>
      </w:r>
      <w:r w:rsidR="00254729" w:rsidRPr="00B10B71">
        <w:rPr>
          <w:rFonts w:ascii="Times New Roman" w:hAnsi="Times New Roman" w:cs="Times New Roman"/>
          <w:sz w:val="24"/>
          <w:szCs w:val="24"/>
        </w:rPr>
        <w:t xml:space="preserve">te alınmalıdır (bkz. Bölüm </w:t>
      </w:r>
      <w:proofErr w:type="gramStart"/>
      <w:r w:rsidR="00254729"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254729" w:rsidRPr="00B10B71">
        <w:rPr>
          <w:rFonts w:ascii="Times New Roman" w:hAnsi="Times New Roman" w:cs="Times New Roman"/>
          <w:sz w:val="24"/>
          <w:szCs w:val="24"/>
        </w:rPr>
        <w:t>)</w:t>
      </w:r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790707" w:rsidRPr="00B10B71" w:rsidRDefault="0079070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B10B71"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AB3AFB" w:rsidRPr="00B10B71" w:rsidRDefault="00AB3AFB" w:rsidP="00AB3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FLOXİLEVO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 yavaş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şeklinde (en az 60 dakika süren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) günde tek doz veya iki kez uygulanabilir. Dozaj,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enfeksiyonun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tipine, şiddetine ve olası etken patojenin duyarlılığına bağlı olarak ayarlanır. Hastanın durumuna bağlı olarak, başlangıçtaki iv uygulamadan birkaç gün sonra oral uygulamaya </w:t>
      </w:r>
      <w:r w:rsidR="000A0241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250 veya 500</w:t>
      </w:r>
      <w:r w:rsidR="00E94D61" w:rsidRPr="00B10B71">
        <w:rPr>
          <w:rFonts w:ascii="Times New Roman" w:hAnsi="Times New Roman" w:cs="Times New Roman"/>
          <w:sz w:val="24"/>
          <w:szCs w:val="24"/>
        </w:rPr>
        <w:t> </w:t>
      </w:r>
      <w:r w:rsidRPr="00B10B71">
        <w:rPr>
          <w:rFonts w:ascii="Times New Roman" w:hAnsi="Times New Roman" w:cs="Times New Roman"/>
          <w:sz w:val="24"/>
          <w:szCs w:val="24"/>
        </w:rPr>
        <w:t xml:space="preserve">mg film kaplı tablet ile geçilmesi mümkün olabilmektedir. Oral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formlar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biyoeşdeğer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olduğundan, her iki formda da aynı dozajın uygulanması mümkündür.</w:t>
      </w:r>
    </w:p>
    <w:p w:rsidR="00BE63C3" w:rsidRPr="00B10B71" w:rsidRDefault="00BE63C3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B10B71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="000A0241" w:rsidRPr="00B10B71">
        <w:rPr>
          <w:rFonts w:ascii="Times New Roman" w:hAnsi="Times New Roman" w:cs="Times New Roman"/>
          <w:b/>
          <w:sz w:val="24"/>
          <w:szCs w:val="24"/>
        </w:rPr>
        <w:t>:</w:t>
      </w:r>
    </w:p>
    <w:p w:rsidR="000A0241" w:rsidRPr="00B10B71" w:rsidRDefault="000A0241" w:rsidP="000A0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aşağıda belirtilen dozlarda erişkinler için uygulanması önerilir:</w:t>
      </w:r>
    </w:p>
    <w:p w:rsidR="000A0241" w:rsidRPr="00B10B71" w:rsidRDefault="000A0241" w:rsidP="000A0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Böbrek fonksiyonları normal (</w:t>
      </w:r>
      <w:proofErr w:type="spell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kreatinin</w:t>
      </w:r>
      <w:proofErr w:type="spellEnd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klirensi</w:t>
      </w:r>
      <w:proofErr w:type="spellEnd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&gt; 50</w:t>
      </w:r>
      <w:r w:rsidR="00E94D61"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ml/dakika) olan hastalarda dozaj</w:t>
      </w:r>
    </w:p>
    <w:tbl>
      <w:tblPr>
        <w:tblW w:w="93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1"/>
        <w:gridCol w:w="3295"/>
        <w:gridCol w:w="2375"/>
      </w:tblGrid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Endikasyon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Günlük dozaj</w:t>
            </w:r>
          </w:p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enfeksiyonun</w:t>
            </w:r>
            <w:proofErr w:type="gram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şiddetine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göre)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Kullanım Süresi</w:t>
            </w:r>
          </w:p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enfeksiyonun</w:t>
            </w:r>
            <w:proofErr w:type="gramEnd"/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şiddetine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göre)</w:t>
            </w:r>
          </w:p>
        </w:tc>
      </w:tr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Toplumdan edinilmiş 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pnömoni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doz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kez</w:t>
            </w:r>
          </w:p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500 mg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7-14 gün</w:t>
            </w:r>
          </w:p>
        </w:tc>
      </w:tr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Piyelonefrit</w:t>
            </w:r>
            <w:proofErr w:type="spellEnd"/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komplikasyonlu</w:t>
            </w:r>
          </w:p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sistem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gram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 tek doz 250 mg*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7-10 gün</w:t>
            </w:r>
          </w:p>
        </w:tc>
      </w:tr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Prostatit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 tek doz 500 mg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28 gün</w:t>
            </w:r>
          </w:p>
        </w:tc>
      </w:tr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yumuşak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r w:rsidR="002061FF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enfeksiyonları</w:t>
            </w:r>
            <w:proofErr w:type="gram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Günde tek doz 250 mg veya</w:t>
            </w:r>
          </w:p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</w:t>
            </w:r>
            <w:proofErr w:type="gram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doz veya iki kez 500 mg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7-14 gün</w:t>
            </w:r>
          </w:p>
        </w:tc>
      </w:tr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Hastanede edinilmiş 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pnömoni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 tek doz 750 mg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12633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241" w:rsidRPr="00B10B71">
              <w:rPr>
                <w:rFonts w:ascii="Times New Roman" w:hAnsi="Times New Roman" w:cs="Times New Roman"/>
                <w:sz w:val="24"/>
                <w:szCs w:val="24"/>
              </w:rPr>
              <w:t>-14 gün</w:t>
            </w:r>
            <w:commentRangeEnd w:id="0"/>
            <w:r w:rsidR="0017039F" w:rsidRPr="00B10B71">
              <w:rPr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</w:tc>
      </w:tr>
      <w:tr w:rsidR="000A0241" w:rsidRPr="00B10B71" w:rsidTr="002061F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Şarbon 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inhalasyonu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 tek doz 500 mg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41" w:rsidRPr="00B10B71" w:rsidRDefault="000A0241" w:rsidP="002061FF">
            <w:pPr>
              <w:spacing w:after="0" w:line="240" w:lineRule="auto"/>
              <w:ind w:left="17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8 hafta</w:t>
            </w:r>
          </w:p>
        </w:tc>
      </w:tr>
    </w:tbl>
    <w:p w:rsidR="000A0241" w:rsidRPr="00B10B71" w:rsidRDefault="000A0241" w:rsidP="000A02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*Şiddetli </w:t>
      </w:r>
      <w:proofErr w:type="gram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enfeksiyon</w:t>
      </w:r>
      <w:proofErr w:type="gram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vakalarında dozajın artırılması düşünülmelidir.</w:t>
      </w:r>
    </w:p>
    <w:p w:rsidR="00616E59" w:rsidRPr="00B10B71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FLOXİLEVO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çözeltisi, sadece yavaş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uygulanır. Uygulama günde tek doz veya günde iki kez yapılabilir.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süresi 500 mg FLOXİLEVO çözeltisi için 60 dakika olmalıdır (bkz. </w:t>
      </w:r>
      <w:r w:rsidR="00E94D61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). Hastanın durumuna bağlı olarak, birkaç gün içinde aynı dozajla, başlangıçtaki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uygulamadan oral uygulamaya geçilmesi mümkün olabilmektedir.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Geçimsizlikler için,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6.2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ye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bakınız.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Tedavinin süresi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Tedavinin süresi hastalığın seyrine bağlıdır (Yukarıdaki tabloya bakınız). Genel olarak bütün</w:t>
      </w:r>
      <w:r w:rsidR="00B1449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antibiyotik tedavilerinde olduğu gibi, </w:t>
      </w:r>
      <w:r w:rsidR="00B14493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kullanımı hastanın ateşi düştükten ve bakteriyel eradikasyon elde edildiğine dair kanıt sağlandıktan sonra, en az 48-72 saat daha sürdürülmelidir.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Özel </w:t>
      </w:r>
      <w:proofErr w:type="gram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popülasyonlara</w:t>
      </w:r>
      <w:proofErr w:type="gram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ilişkin ek bilgiler: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Böbrek yetmezliği: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Aşağıdaki tabloda belirtilen şekilde kullanılır.</w:t>
      </w:r>
    </w:p>
    <w:p w:rsidR="00F75917" w:rsidRPr="00B10B71" w:rsidRDefault="00F75917" w:rsidP="00F75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klirensi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≤ 50 ml/dakika olan hastalarda dozaj (Enfeksiyonun şiddetine göre)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268"/>
        <w:gridCol w:w="2268"/>
        <w:gridCol w:w="2268"/>
        <w:gridCol w:w="2268"/>
      </w:tblGrid>
      <w:tr w:rsidR="00FD33F2" w:rsidRPr="00B10B71" w:rsidTr="00142BD3">
        <w:trPr>
          <w:cantSplit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90" w:right="142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  <w:b/>
                <w:bCs/>
              </w:rPr>
              <w:t>250 mg / 24 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1" w:right="113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  <w:b/>
                <w:bCs/>
              </w:rPr>
              <w:t>500 mg / 24 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70" w:right="85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  <w:b/>
                <w:bCs/>
              </w:rPr>
              <w:t>500 mg / 12 saat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D33F2" w:rsidRPr="00B10B71" w:rsidRDefault="00FD33F2" w:rsidP="008A6B71">
            <w:pPr>
              <w:spacing w:after="0" w:line="240" w:lineRule="auto"/>
              <w:ind w:left="198" w:right="79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  <w:b/>
                <w:bCs/>
              </w:rPr>
              <w:t>750 mg/24 saat</w:t>
            </w:r>
          </w:p>
        </w:tc>
      </w:tr>
      <w:tr w:rsidR="00FD33F2" w:rsidRPr="00B10B71" w:rsidTr="00142BD3">
        <w:trPr>
          <w:cantSplit/>
        </w:trPr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  <w:proofErr w:type="spellStart"/>
            <w:r w:rsidRPr="00B10B71">
              <w:rPr>
                <w:rFonts w:ascii="Times New Roman" w:hAnsi="Times New Roman" w:cs="Times New Roman"/>
                <w:b/>
                <w:bCs/>
              </w:rPr>
              <w:t>Kreatinin</w:t>
            </w:r>
            <w:proofErr w:type="spellEnd"/>
          </w:p>
          <w:p w:rsidR="00FD33F2" w:rsidRPr="00B10B71" w:rsidRDefault="00FD33F2" w:rsidP="008A6B71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  <w:proofErr w:type="spellStart"/>
            <w:r w:rsidRPr="00B10B71">
              <w:rPr>
                <w:rFonts w:ascii="Times New Roman" w:hAnsi="Times New Roman" w:cs="Times New Roman"/>
                <w:b/>
                <w:bCs/>
              </w:rPr>
              <w:t>klirensi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90" w:right="142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b/>
                <w:bCs/>
              </w:rPr>
              <w:t>ilk</w:t>
            </w:r>
            <w:proofErr w:type="gramEnd"/>
            <w:r w:rsidRPr="00B10B71">
              <w:rPr>
                <w:rFonts w:ascii="Times New Roman" w:hAnsi="Times New Roman" w:cs="Times New Roman"/>
                <w:b/>
                <w:bCs/>
              </w:rPr>
              <w:t xml:space="preserve"> doz 250 mg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1" w:right="113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b/>
                <w:bCs/>
              </w:rPr>
              <w:t>ilk</w:t>
            </w:r>
            <w:proofErr w:type="gramEnd"/>
            <w:r w:rsidRPr="00B10B71">
              <w:rPr>
                <w:rFonts w:ascii="Times New Roman" w:hAnsi="Times New Roman" w:cs="Times New Roman"/>
                <w:b/>
                <w:bCs/>
              </w:rPr>
              <w:t xml:space="preserve"> doz 500 mg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70" w:right="85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b/>
                <w:bCs/>
              </w:rPr>
              <w:t>ilk</w:t>
            </w:r>
            <w:proofErr w:type="gramEnd"/>
            <w:r w:rsidRPr="00B10B71">
              <w:rPr>
                <w:rFonts w:ascii="Times New Roman" w:hAnsi="Times New Roman" w:cs="Times New Roman"/>
                <w:b/>
                <w:bCs/>
              </w:rPr>
              <w:t xml:space="preserve"> doz 500 mg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FD33F2" w:rsidRPr="00B10B71" w:rsidRDefault="00FD33F2" w:rsidP="008A6B71">
            <w:pPr>
              <w:spacing w:after="0" w:line="240" w:lineRule="auto"/>
              <w:ind w:left="198" w:right="79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b/>
                <w:bCs/>
              </w:rPr>
              <w:t>ilk</w:t>
            </w:r>
            <w:proofErr w:type="gramEnd"/>
            <w:r w:rsidRPr="00B10B71">
              <w:rPr>
                <w:rFonts w:ascii="Times New Roman" w:hAnsi="Times New Roman" w:cs="Times New Roman"/>
                <w:b/>
                <w:bCs/>
              </w:rPr>
              <w:t xml:space="preserve"> doz 750 mg</w:t>
            </w:r>
          </w:p>
        </w:tc>
      </w:tr>
      <w:tr w:rsidR="00FD33F2" w:rsidRPr="00B10B71" w:rsidTr="00142BD3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</w:rPr>
              <w:t>50-20 ml/dakika</w:t>
            </w:r>
          </w:p>
          <w:p w:rsidR="00FD33F2" w:rsidRPr="00B10B71" w:rsidRDefault="00FD33F2" w:rsidP="00AE2DBC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</w:rPr>
              <w:t>19-10</w:t>
            </w:r>
            <w:r w:rsidR="00141895" w:rsidRPr="00B10B71">
              <w:rPr>
                <w:rFonts w:ascii="Times New Roman" w:hAnsi="Times New Roman" w:cs="Times New Roman"/>
              </w:rPr>
              <w:t xml:space="preserve"> </w:t>
            </w:r>
            <w:r w:rsidRPr="00B10B71">
              <w:rPr>
                <w:rFonts w:ascii="Times New Roman" w:hAnsi="Times New Roman" w:cs="Times New Roman"/>
              </w:rPr>
              <w:t>ml/dakika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90" w:right="142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mg/24 saat</w:t>
            </w:r>
          </w:p>
          <w:p w:rsidR="00FD33F2" w:rsidRPr="00B10B71" w:rsidRDefault="00FD33F2" w:rsidP="008A6B71">
            <w:pPr>
              <w:spacing w:after="0" w:line="240" w:lineRule="auto"/>
              <w:ind w:left="90" w:right="142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mg/48 saat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1" w:right="113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250 mg/24 saat</w:t>
            </w:r>
          </w:p>
          <w:p w:rsidR="00FD33F2" w:rsidRPr="00B10B71" w:rsidRDefault="00FD33F2" w:rsidP="008A6B71">
            <w:pPr>
              <w:spacing w:after="0" w:line="240" w:lineRule="auto"/>
              <w:ind w:left="141" w:right="113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mg/24 saat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70" w:right="85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250 mg/12 saat</w:t>
            </w:r>
          </w:p>
          <w:p w:rsidR="00FD33F2" w:rsidRPr="00B10B71" w:rsidRDefault="00FD33F2" w:rsidP="008A6B71">
            <w:pPr>
              <w:spacing w:after="0" w:line="240" w:lineRule="auto"/>
              <w:ind w:left="170" w:right="85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mg/12 saat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FD33F2" w:rsidRPr="00B10B71" w:rsidRDefault="00FD33F2" w:rsidP="008A6B71">
            <w:pPr>
              <w:spacing w:after="0" w:line="240" w:lineRule="auto"/>
              <w:ind w:left="198" w:right="79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750 mg/48 saat</w:t>
            </w:r>
          </w:p>
          <w:p w:rsidR="00FD33F2" w:rsidRPr="00B10B71" w:rsidRDefault="00FD33F2" w:rsidP="008A6B71">
            <w:pPr>
              <w:spacing w:after="0" w:line="240" w:lineRule="auto"/>
              <w:ind w:left="198" w:right="79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  <w:iCs/>
              </w:rPr>
              <w:t xml:space="preserve">500 </w:t>
            </w:r>
            <w:r w:rsidRPr="00B10B71">
              <w:rPr>
                <w:rFonts w:ascii="Times New Roman" w:hAnsi="Times New Roman" w:cs="Times New Roman"/>
              </w:rPr>
              <w:t>mg/48 saat</w:t>
            </w:r>
          </w:p>
        </w:tc>
      </w:tr>
      <w:tr w:rsidR="00FD33F2" w:rsidRPr="00B10B71" w:rsidTr="00142BD3">
        <w:trPr>
          <w:cantSplit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</w:rPr>
              <w:t>&lt; 10ml / dakika</w:t>
            </w:r>
          </w:p>
          <w:p w:rsidR="00FD33F2" w:rsidRPr="00B10B71" w:rsidRDefault="00FD33F2" w:rsidP="00142BD3">
            <w:pPr>
              <w:spacing w:after="0" w:line="240" w:lineRule="auto"/>
              <w:ind w:left="142" w:right="52"/>
              <w:rPr>
                <w:rFonts w:ascii="Times New Roman" w:hAnsi="Times New Roman" w:cs="Times New Roman"/>
              </w:rPr>
            </w:pPr>
            <w:r w:rsidRPr="00B10B71">
              <w:rPr>
                <w:rFonts w:ascii="Times New Roman" w:hAnsi="Times New Roman" w:cs="Times New Roman"/>
              </w:rPr>
              <w:t>(hemodiyaliz</w:t>
            </w:r>
            <w:r w:rsidR="00141895" w:rsidRPr="00B10B71">
              <w:rPr>
                <w:rFonts w:ascii="Times New Roman" w:hAnsi="Times New Roman" w:cs="Times New Roman"/>
              </w:rPr>
              <w:t xml:space="preserve"> </w:t>
            </w:r>
            <w:r w:rsidRPr="00B10B71">
              <w:rPr>
                <w:rFonts w:ascii="Times New Roman" w:hAnsi="Times New Roman" w:cs="Times New Roman"/>
              </w:rPr>
              <w:t xml:space="preserve">ve sürekli </w:t>
            </w:r>
            <w:proofErr w:type="spellStart"/>
            <w:r w:rsidRPr="00B10B71">
              <w:rPr>
                <w:rFonts w:ascii="Times New Roman" w:hAnsi="Times New Roman" w:cs="Times New Roman"/>
              </w:rPr>
              <w:t>ambulatuvar</w:t>
            </w:r>
            <w:proofErr w:type="spellEnd"/>
            <w:r w:rsidRPr="00B10B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B71">
              <w:rPr>
                <w:rFonts w:ascii="Times New Roman" w:hAnsi="Times New Roman" w:cs="Times New Roman"/>
              </w:rPr>
              <w:t>peritoneal</w:t>
            </w:r>
            <w:proofErr w:type="spellEnd"/>
            <w:r w:rsidR="00142BD3" w:rsidRPr="00B10B71">
              <w:rPr>
                <w:rFonts w:ascii="Times New Roman" w:hAnsi="Times New Roman" w:cs="Times New Roman"/>
              </w:rPr>
              <w:t xml:space="preserve"> </w:t>
            </w:r>
            <w:r w:rsidRPr="00B10B71">
              <w:rPr>
                <w:rFonts w:ascii="Times New Roman" w:hAnsi="Times New Roman" w:cs="Times New Roman"/>
              </w:rPr>
              <w:t>diyaliz ile</w:t>
            </w:r>
            <w:r w:rsidR="00142BD3" w:rsidRPr="00B10B71">
              <w:rPr>
                <w:rFonts w:ascii="Times New Roman" w:hAnsi="Times New Roman" w:cs="Times New Roman"/>
              </w:rPr>
              <w:t xml:space="preserve"> </w:t>
            </w:r>
            <w:r w:rsidRPr="00B10B71">
              <w:rPr>
                <w:rFonts w:ascii="Times New Roman" w:hAnsi="Times New Roman" w:cs="Times New Roman"/>
              </w:rPr>
              <w:t>birlikte)*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90" w:right="142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mg/48 saat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41" w:right="113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mg/24 saat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33F2" w:rsidRPr="00B10B71" w:rsidRDefault="00FD33F2" w:rsidP="008A6B71">
            <w:pPr>
              <w:spacing w:after="0" w:line="240" w:lineRule="auto"/>
              <w:ind w:left="170" w:right="85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125 mg/24 saat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FD33F2" w:rsidRPr="00B10B71" w:rsidRDefault="00FD33F2" w:rsidP="008A6B71">
            <w:pPr>
              <w:spacing w:after="0" w:line="240" w:lineRule="auto"/>
              <w:ind w:left="198" w:right="79"/>
              <w:rPr>
                <w:rFonts w:ascii="Times New Roman" w:hAnsi="Times New Roman" w:cs="Times New Roman"/>
              </w:rPr>
            </w:pPr>
            <w:proofErr w:type="gramStart"/>
            <w:r w:rsidRPr="00B10B71">
              <w:rPr>
                <w:rFonts w:ascii="Times New Roman" w:hAnsi="Times New Roman" w:cs="Times New Roman"/>
                <w:i/>
                <w:iCs/>
              </w:rPr>
              <w:t>sonra</w:t>
            </w:r>
            <w:proofErr w:type="gramEnd"/>
            <w:r w:rsidRPr="00B10B7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10B71">
              <w:rPr>
                <w:rFonts w:ascii="Times New Roman" w:hAnsi="Times New Roman" w:cs="Times New Roman"/>
              </w:rPr>
              <w:t>500 mg/48 saat</w:t>
            </w:r>
          </w:p>
        </w:tc>
      </w:tr>
    </w:tbl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*Hemodiyalizi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takiben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veya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sürekli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ambulatuvar</w:t>
      </w:r>
      <w:proofErr w:type="spellEnd"/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peritoneal</w:t>
      </w:r>
      <w:proofErr w:type="spellEnd"/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diyalizde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ek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bir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doza</w:t>
      </w:r>
      <w:r w:rsidR="002665D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gerek yoktur.</w:t>
      </w: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3C3" w:rsidRPr="00B10B71" w:rsidRDefault="00BE63C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lastRenderedPageBreak/>
        <w:t>Karaciğer yetmezliği:</w:t>
      </w: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karaciğerde çok düşük miktarlarda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olur ve esas olarak böbrekler yoluyla vücuttan atılır. Bu nedenle, karaciğer yetmezliğinde dozaj ayarlamasına gerek yoktur.</w:t>
      </w: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Pediyatrik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B10B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2BD3" w:rsidRPr="00B10B71" w:rsidRDefault="002665D1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142BD3" w:rsidRPr="00B10B71">
        <w:rPr>
          <w:rFonts w:ascii="Times New Roman" w:hAnsi="Times New Roman" w:cs="Times New Roman"/>
          <w:sz w:val="24"/>
          <w:szCs w:val="24"/>
        </w:rPr>
        <w:t xml:space="preserve"> çocuklarda ve büyümesi devam eden ergenlerde </w:t>
      </w:r>
      <w:proofErr w:type="spellStart"/>
      <w:r w:rsidR="00142BD3" w:rsidRPr="00B10B71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142BD3" w:rsidRPr="00B10B71">
        <w:rPr>
          <w:rFonts w:ascii="Times New Roman" w:hAnsi="Times New Roman" w:cs="Times New Roman"/>
          <w:sz w:val="24"/>
          <w:szCs w:val="24"/>
        </w:rPr>
        <w:t>(</w:t>
      </w:r>
      <w:r w:rsidR="00BB49DA" w:rsidRPr="00B10B71">
        <w:rPr>
          <w:rFonts w:ascii="Times New Roman" w:hAnsi="Times New Roman" w:cs="Times New Roman"/>
          <w:sz w:val="24"/>
          <w:szCs w:val="24"/>
        </w:rPr>
        <w:t>b</w:t>
      </w:r>
      <w:r w:rsidR="00142BD3"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BB49DA" w:rsidRPr="00B10B71">
        <w:rPr>
          <w:rFonts w:ascii="Times New Roman" w:hAnsi="Times New Roman" w:cs="Times New Roman"/>
          <w:sz w:val="24"/>
          <w:szCs w:val="24"/>
        </w:rPr>
        <w:t>B</w:t>
      </w:r>
      <w:r w:rsidR="00142BD3"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="00142BD3" w:rsidRPr="00B10B71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="00142BD3" w:rsidRPr="00B10B71">
        <w:rPr>
          <w:rFonts w:ascii="Times New Roman" w:hAnsi="Times New Roman" w:cs="Times New Roman"/>
          <w:sz w:val="24"/>
          <w:szCs w:val="24"/>
        </w:rPr>
        <w:t>)</w:t>
      </w:r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Geriyatrik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B10B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2BD3" w:rsidRPr="00B10B71" w:rsidRDefault="00142BD3" w:rsidP="0014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Yaşlı hastalarda böbrek fonksiyonları yeterli düzeyde ise dozaj ayarlamasına gerek yoktur (</w:t>
      </w:r>
      <w:r w:rsidR="006336BE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, QT aralığının uzaması)</w:t>
      </w:r>
      <w:r w:rsidR="002665D1" w:rsidRPr="00B10B71">
        <w:rPr>
          <w:rFonts w:ascii="Times New Roman" w:hAnsi="Times New Roman" w:cs="Times New Roman"/>
          <w:sz w:val="24"/>
          <w:szCs w:val="24"/>
        </w:rPr>
        <w:t>.</w:t>
      </w:r>
    </w:p>
    <w:p w:rsidR="00142BD3" w:rsidRPr="00B10B71" w:rsidRDefault="00142BD3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F94029" w:rsidRPr="00B10B71" w:rsidRDefault="00F94029" w:rsidP="00F94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Aşağıda belirtilen durumlarda FLOXİLEVO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 kullanılmamalıdır:</w:t>
      </w:r>
    </w:p>
    <w:p w:rsidR="00F94029" w:rsidRPr="00B10B71" w:rsidRDefault="00F94029" w:rsidP="00F94029">
      <w:pPr>
        <w:pStyle w:val="ListeParagraf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veya FLOXİLEVO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 bileşiminde bulunan maddelerden herhangi birine veya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grubu bir diğer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ilaca karşı aşırı duyarlılığı olduğu bilinen hastalar</w:t>
      </w:r>
    </w:p>
    <w:p w:rsidR="00F94029" w:rsidRPr="00B10B71" w:rsidRDefault="00F94029" w:rsidP="00F94029">
      <w:pPr>
        <w:pStyle w:val="ListeParagraf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Epilepsisi olan hastalar</w:t>
      </w:r>
    </w:p>
    <w:p w:rsidR="00F94029" w:rsidRPr="00B10B71" w:rsidRDefault="00F94029" w:rsidP="00F94029">
      <w:pPr>
        <w:pStyle w:val="ListeParagraf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grubu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kullanımına bağlı geliştiği bilinen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rahatsızlığı öyküsü olan hastalar</w:t>
      </w:r>
    </w:p>
    <w:p w:rsidR="00F94029" w:rsidRPr="00B10B71" w:rsidRDefault="00F94029" w:rsidP="00F94029">
      <w:pPr>
        <w:pStyle w:val="ListeParagraf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Çocuklar ve büyümesi devam eden ergenler</w:t>
      </w:r>
    </w:p>
    <w:p w:rsidR="00F94029" w:rsidRPr="00B10B71" w:rsidRDefault="00F94029" w:rsidP="00F94029">
      <w:pPr>
        <w:pStyle w:val="ListeParagraf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Hamilelik sırasında</w:t>
      </w:r>
    </w:p>
    <w:p w:rsidR="00F94029" w:rsidRPr="00B10B71" w:rsidRDefault="00F94029" w:rsidP="00F94029">
      <w:pPr>
        <w:pStyle w:val="ListeParagraf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Emziren kadınlarda</w:t>
      </w:r>
    </w:p>
    <w:p w:rsidR="00F94029" w:rsidRPr="00B10B71" w:rsidRDefault="00F94029" w:rsidP="00F94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Çocuklarda, büyümesi devam eden ergenlerde, hamilelik sırasında ve emziren kadınlarda kullanımı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çünkü -hayvan çalışmalarına dayanılarak</w:t>
      </w:r>
      <w:r w:rsidR="00102AF1" w:rsidRPr="00B10B71">
        <w:rPr>
          <w:rFonts w:ascii="Times New Roman" w:hAnsi="Times New Roman" w:cs="Times New Roman"/>
          <w:sz w:val="24"/>
          <w:szCs w:val="24"/>
        </w:rPr>
        <w:t>-</w:t>
      </w:r>
      <w:r w:rsidRPr="00B10B71">
        <w:rPr>
          <w:rFonts w:ascii="Times New Roman" w:hAnsi="Times New Roman" w:cs="Times New Roman"/>
          <w:sz w:val="24"/>
          <w:szCs w:val="24"/>
        </w:rPr>
        <w:t xml:space="preserve"> gelişmekte olan organizmanın gelişen kıkırdak dokusuna zarar verme riski tamamen göz ardı edilemez.</w:t>
      </w:r>
    </w:p>
    <w:p w:rsidR="00F94029" w:rsidRPr="00B10B71" w:rsidRDefault="00F9402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Genel uyarılar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Edinilmiş direnç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prevalansı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bazı bakteri türleri için ülkeden ülkeye ve zaman içinde değişiklik gösterebilir. Bu nedenle dirençle ilgili yerel verilere gereksinim vardır; özellikle ağır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enfeksiyonlarda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veya tedaviye yanıt alınamadığında, patojen izole edilerek mikrobiyolojik tanı konmalı ve patojenin duyarlılığına dair kanıt aranmalıdır.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Çok ciddi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pnömokoksik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olguları için </w:t>
      </w:r>
      <w:r w:rsidR="005F5A84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en uygun tedavi olmayabilir.</w:t>
      </w:r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="005F5A84" w:rsidRPr="00B10B71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etken olduğu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nozokomiyal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enfeksiyonlarda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kombine tedaviye ihtiyaç</w:t>
      </w:r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olabilir.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dirençli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dirençli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olmak üzere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5F5A84" w:rsidRPr="00B10B71">
        <w:rPr>
          <w:rFonts w:ascii="Times New Roman" w:hAnsi="Times New Roman" w:cs="Times New Roman"/>
          <w:sz w:val="24"/>
          <w:szCs w:val="24"/>
        </w:rPr>
        <w:noBreakHyphen/>
      </w:r>
      <w:r w:rsidRPr="00B10B71">
        <w:rPr>
          <w:rFonts w:ascii="Times New Roman" w:hAnsi="Times New Roman" w:cs="Times New Roman"/>
          <w:sz w:val="24"/>
          <w:szCs w:val="24"/>
        </w:rPr>
        <w:t xml:space="preserve">rezistans gösterme olasılığı çok yüksektir. Bu nedenle, organizmanın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duyarlılığı laboratuar testleriyle doğrulanmadığı sürece, bilinen veya şüphe edilen MRSA</w:t>
      </w:r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tedavisinde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kullanılması önerilmez.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eğilimli hastalar: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kinolonlarla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olduğu gibi </w:t>
      </w:r>
      <w:r w:rsidR="005F5A84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çözeltisi, epilepsi öyküsü olan hastalarda</w:t>
      </w:r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Önceden merkezi sinir sistemi lezyonu bulunan,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eğilimli olan hastalarda,</w:t>
      </w:r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fenbufen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benzeri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steroidal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antiinflamatuvar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ilaçlar alan ya 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teofilin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serebral</w:t>
      </w:r>
      <w:proofErr w:type="spellEnd"/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eşiğini düşüren ilaçlar almakta olan hastalarda</w:t>
      </w:r>
      <w:r w:rsidR="00490AB1" w:rsidRPr="00B10B71">
        <w:rPr>
          <w:rFonts w:ascii="Times New Roman" w:hAnsi="Times New Roman" w:cs="Times New Roman"/>
          <w:sz w:val="24"/>
          <w:szCs w:val="24"/>
        </w:rPr>
        <w:t xml:space="preserve"> çok dikkatli kullanılmalıdır (b</w:t>
      </w:r>
      <w:r w:rsidRPr="00B10B71">
        <w:rPr>
          <w:rFonts w:ascii="Times New Roman" w:hAnsi="Times New Roman" w:cs="Times New Roman"/>
          <w:sz w:val="24"/>
          <w:szCs w:val="24"/>
        </w:rPr>
        <w:t>kz.</w:t>
      </w:r>
      <w:r w:rsidR="005F5A8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120563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tipi nöbet oluşması durumunda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tedavisinin kesilmesi gerekir.</w:t>
      </w:r>
    </w:p>
    <w:p w:rsidR="005F5A84" w:rsidRPr="00B10B71" w:rsidRDefault="005F5A84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ile ilişkili hastalık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Psödomembranöz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kolit)</w:t>
      </w:r>
    </w:p>
    <w:p w:rsidR="00102AF1" w:rsidRPr="00B10B71" w:rsidRDefault="005F5A84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çözeltisi tedavisi sırasında veya sonrasında şiddetli, ısrarlı ve/veya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kanlı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görülürse, bu </w:t>
      </w:r>
      <w:proofErr w:type="spellStart"/>
      <w:r w:rsidR="00102AF1" w:rsidRPr="00B10B71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102AF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proofErr w:type="spellEnd"/>
      <w:r w:rsidR="00102AF1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ile ilişkili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psödomembranöz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kolitin belirtisi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olabilir. Bu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psödomembranöz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enterokolitin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en ciddi formudur. Eğer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psödomembranöz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enterokolitten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şüpheleniliyorsa, </w:t>
      </w: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 tedavisi hemen sonlandırılmalı ve gecikmeden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uygun destekleyici ve/veya </w:t>
      </w:r>
      <w:proofErr w:type="gramStart"/>
      <w:r w:rsidR="00102AF1" w:rsidRPr="00B10B71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tedaviye (örn. oral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vankomisin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teikoplanin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veya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metranidazol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>) başlanmalıdır. Bu klinik durumda, barsak hareketlerini engelleyen ilaçlar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>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rüptürü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Nadiren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meydana gelebilir. En çok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aşil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tendonunu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etkiler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rüptürüne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yol açabilir. Bu istenmeyen etki tedaviye başladıktan 48 saat içinde meydana gelebilir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bilateral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olabilir. Yaşlılarda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kortikosteroid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kullanan hastalarda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rüptürü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riski artar. Bu hastalara </w:t>
      </w:r>
      <w:r w:rsidR="00490AB1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reçete edildiyse, yakından takip edilmeleri gerekir.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belirtileri </w:t>
      </w: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yaşayan bütün hastaların doktorlarına haber vermesi gerekir. Eğer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tendinitten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şüpheleniliyorsa </w:t>
      </w:r>
      <w:r w:rsidR="00490AB1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tedavisi derhal kesilmeli ve etkilenmiş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tendonun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hareketsiz tutulması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immobilizasyon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 şeklinde uygun tedavi başlatılmalıdır.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Aşırı duyarlılık reaksiyonları: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ilk dozunu takiben nadiren, öldürücü potansiyeli olan ciddi aşırı duyarlılık reaksiyonlarına (örn.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anjiyoödem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şok) neden olabilir (</w:t>
      </w:r>
      <w:r w:rsidR="00490AB1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DD49E4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). Hastalar derhal tedaviyi kesmeli ve acil önlem alınması için doktora başvurmalıdır.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Ağır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bülloz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reaksiyonlar: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Johnson sendromu veya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epidermal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nekroliz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gibi ağır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büllöz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deri reaksiyonları bildirilmiştir 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). Herhangi bir deri ve/veya mukoza bozukluğu ortaya çıkması halinde, hastaların tedaviye devam etmeden önce hemen doktorlarına başvurmaları gerekir.</w:t>
      </w:r>
    </w:p>
    <w:p w:rsidR="00490AB1" w:rsidRPr="00B10B71" w:rsidRDefault="00490AB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Hepato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biliyer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bozukluklar</w:t>
      </w:r>
      <w:r w:rsidRPr="00B10B71">
        <w:rPr>
          <w:rFonts w:ascii="Times New Roman" w:hAnsi="Times New Roman" w:cs="Times New Roman"/>
          <w:sz w:val="24"/>
          <w:szCs w:val="24"/>
        </w:rPr>
        <w:t>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Altta yatan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sepsis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gibi çok ciddi hastalıkları bulunan kişilerde,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uygulanması ile karaciğer nekrozundan yaşamı tehdit eden karaciğer yetmezliğine kadar gidebilen olgular rapor edilmiştir (</w:t>
      </w:r>
      <w:r w:rsidR="00A90702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A90702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). İştahsızlık, sarılık, koyu renkte idrar, kaşıntı veya karında hassasiyet gibi karaciğer hastalığıyla ilgili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semptom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 işaretler gelişirse, hastanın tedaviyi durdurması ve derhal doktoruyla temas kurması gerekir.</w:t>
      </w:r>
    </w:p>
    <w:p w:rsidR="008D7E2C" w:rsidRPr="00B10B71" w:rsidRDefault="008D7E2C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QT aralığında uzama: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Çok seyrek olarak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içeren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verilen hastalarda QT aralığında</w:t>
      </w:r>
      <w:r w:rsidR="00A9070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uzama bildirilmiştir.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dâhil olmak üzere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kullanan hastalarda, aşağıdaki gibi QT</w:t>
      </w:r>
      <w:r w:rsidR="00A9070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aralığının uzaması açısından risk faktörleri varsa dikkatli olunması gerekir:</w:t>
      </w:r>
    </w:p>
    <w:p w:rsidR="00102AF1" w:rsidRPr="00B10B71" w:rsidRDefault="00102AF1" w:rsidP="00A90702">
      <w:pPr>
        <w:pStyle w:val="ListeParagraf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Düzeltilmemiş elektrolit dengesizliği (örn.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hipokalemi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hipomagnezemi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102AF1" w:rsidRPr="00B10B71" w:rsidRDefault="00102AF1" w:rsidP="00A90702">
      <w:pPr>
        <w:pStyle w:val="ListeParagraf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uzun QT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sendromu</w:t>
      </w:r>
      <w:proofErr w:type="gramEnd"/>
    </w:p>
    <w:p w:rsidR="00102AF1" w:rsidRPr="00B10B71" w:rsidRDefault="00102AF1" w:rsidP="00A90702">
      <w:pPr>
        <w:pStyle w:val="ListeParagraf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Kardiyak hastalık (örn. kalp yetmezliği,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enfarktüsü,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bradikardi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102AF1" w:rsidRPr="00B10B71" w:rsidRDefault="00102AF1" w:rsidP="00102AF1">
      <w:pPr>
        <w:pStyle w:val="ListeParagraf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QT aralığını uzattığı bilinen ilaçların birlikte kullanılması (örn. Sınıf IA ve III</w:t>
      </w:r>
      <w:r w:rsidR="00A9070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antiaritmikler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trisiklik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antidepresanlar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makrolidler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antipsikotikler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İleri yaştaki hastalar ve kadınlar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aralığını uzatan ilaçlara karşı daha duyarlı olabilirler. Bu</w:t>
      </w:r>
      <w:r w:rsidR="009142A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nedenle, bu hasta grubunda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olmak üzere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kullanıldığında</w:t>
      </w:r>
      <w:r w:rsidR="009142A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dikkatli olunmalıdır.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Hipoglisemi</w:t>
      </w:r>
      <w:r w:rsidRPr="00B10B71">
        <w:rPr>
          <w:rFonts w:ascii="Times New Roman" w:hAnsi="Times New Roman" w:cs="Times New Roman"/>
          <w:sz w:val="24"/>
          <w:szCs w:val="24"/>
        </w:rPr>
        <w:t>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Diğer tüm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kinolonlarla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olduğu gibi, genellikle oral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hipoglisemik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ajan (örn.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glibenklamid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) veya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insülin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tedavi gören diyabetli hastalarda hipoglisemi görüldüğü bildirilmiştir.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Hipoglisemik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koma olguları bildirilmiştir. Diyabetli hastalarda kan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glukozunun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dikkatle takip </w:t>
      </w:r>
      <w:r w:rsidR="00B52B7D" w:rsidRPr="00B10B71">
        <w:rPr>
          <w:rFonts w:ascii="Times New Roman" w:hAnsi="Times New Roman" w:cs="Times New Roman"/>
          <w:sz w:val="24"/>
          <w:szCs w:val="24"/>
        </w:rPr>
        <w:t>edilmesi tavsiye edilmektedir (b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2B507D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Miyastenia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Gravis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şiddetlenmesi: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dahil olduğu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nöromüsküler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blokaj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aktivitesine sahiptirler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myastenia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gravisli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hastalarda kas güçsüzlüğünü şiddetlendirebilirler.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myastenia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gravisli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hastalarda,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ventilatör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desteği gerektiren akciğer yetmezliği ve ölümü de kapsayan pazarlama sonrası ciddi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olaylar,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ilişkilendirilmiştir. Öyküsünde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myastenia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bulunan hastalar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kullanımından kaçınılmalıdır</w:t>
      </w:r>
      <w:r w:rsidR="00DA402A" w:rsidRPr="00B10B71">
        <w:rPr>
          <w:rFonts w:ascii="Times New Roman" w:hAnsi="Times New Roman" w:cs="Times New Roman"/>
          <w:sz w:val="24"/>
          <w:szCs w:val="24"/>
        </w:rPr>
        <w:t>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Böbrek yetmezliği olan hastalar: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temel olarak böbrekler yoluyla atıldığından, böbrek yetmezliği olan hastalarda</w:t>
      </w:r>
    </w:p>
    <w:p w:rsidR="00102AF1" w:rsidRPr="00B10B71" w:rsidRDefault="00B52B7D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çözeltisinin dozunun ayarlanması gerekir (</w:t>
      </w:r>
      <w:r w:rsidRPr="00B10B71">
        <w:rPr>
          <w:rFonts w:ascii="Times New Roman" w:hAnsi="Times New Roman" w:cs="Times New Roman"/>
          <w:sz w:val="24"/>
          <w:szCs w:val="24"/>
        </w:rPr>
        <w:t>b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Pr="00B10B71">
        <w:rPr>
          <w:rFonts w:ascii="Times New Roman" w:hAnsi="Times New Roman" w:cs="Times New Roman"/>
          <w:sz w:val="24"/>
          <w:szCs w:val="24"/>
        </w:rPr>
        <w:t>B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="00102AF1" w:rsidRPr="00B10B71">
        <w:rPr>
          <w:rFonts w:ascii="Times New Roman" w:hAnsi="Times New Roman" w:cs="Times New Roman"/>
          <w:sz w:val="24"/>
          <w:szCs w:val="24"/>
        </w:rPr>
        <w:t>4.2</w:t>
      </w:r>
      <w:proofErr w:type="gramEnd"/>
      <w:r w:rsidR="00102AF1" w:rsidRPr="00B10B71">
        <w:rPr>
          <w:rFonts w:ascii="Times New Roman" w:hAnsi="Times New Roman" w:cs="Times New Roman"/>
          <w:sz w:val="24"/>
          <w:szCs w:val="24"/>
        </w:rPr>
        <w:t>)</w:t>
      </w:r>
    </w:p>
    <w:p w:rsidR="00DA402A" w:rsidRPr="00B10B71" w:rsidRDefault="00DA402A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Işığa karşı duyarlılık gelişmesi (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fotosensitizasyon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bağlı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fotosensitizasyon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çok nadiren görülmekle birlikte,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fotosensitizasyonun</w:t>
      </w:r>
      <w:proofErr w:type="spellEnd"/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önlenmesi için hastaların tedavi süresince ve tedavi sonlandırıldıktan sonra 48 saat süreyle</w:t>
      </w:r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kuvvetli güneş ışığına çıkmamaları veya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solaryum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gibi yapay ultraviyole ışınlarına maruz</w:t>
      </w:r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kalmamaları önerilir.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Süperenfeksiyon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Diğer antibiyotiklerde olduğu gibi,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uzun süreli kullanımı, dirençli olmayan</w:t>
      </w:r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organizmaların aşırı çoğalmasına sebep olabilir. Hastanın durumunun tekrarlayan</w:t>
      </w:r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değerlendirmeleri önemlidir. Eğer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süperenfeksiyon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oluşursa uygun tedavi yöntemleri</w:t>
      </w:r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uygulanmalıdır.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A4" w:rsidRPr="00B10B71" w:rsidRDefault="00B76DA4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Glikoz-6-fosfat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dehidrogenaz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eksikliği olan hastalar: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Glikoz-6-fosfat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dehidrogenaz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aktivitesinde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latent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veya aktüel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defekt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bulunan hastalar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kinolon</w:t>
      </w:r>
      <w:proofErr w:type="spellEnd"/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grubu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antibakteriyellerle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tedavi edildiğinde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reaksiyonlara eğilimi artabilir, bu</w:t>
      </w:r>
      <w:r w:rsidR="00B52B7D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yüzden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bu tip hastalarda dikkatli kullanılmalıdır.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Periferik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nöropati</w:t>
      </w:r>
      <w:proofErr w:type="spellEnd"/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olmak üzere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kullanan hastalarda, başlangıcı hızlı olabilen duyusal veya duyusal-motor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nöropati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bildirilmiştir. Geri dönüşümsüz bozuklukların gelişmesini önlemek için, eğer hasta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nöropati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yaşarsa,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kullanımına son verilmesi gerekir.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Şarbon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inhalasyonu</w:t>
      </w:r>
      <w:proofErr w:type="spellEnd"/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İnsanlarda kullanım,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anthrasis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duyarlılığı verilerini, hayvanlardaki deneysel verileri ve insanlardaki sınırlı verileri temel almaktadır. Tedaviyi uygulayan doktor, şarbon tedavisi ile ilgili ulusal ve/veya uluslararası uzlaşı belgelerine başvurmalıdır.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süresi</w:t>
      </w:r>
    </w:p>
    <w:p w:rsidR="00102AF1" w:rsidRPr="00B10B71" w:rsidRDefault="0013181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 500 mg iv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çözeltisi için önerilen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süresi en az 60 dakikadır. Bu süre boyunca hasta gözlenmelidir. </w:t>
      </w: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102AF1" w:rsidRPr="00B10B71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enfüzyonu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ile taşikardi ve kan basıncında geçici düşme, nadir vakalarda kan basıncının belirgin şekilde düşmesi ile dolaşım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kollapsı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gelişebilmektedir.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ofloksasin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="00102AF1" w:rsidRPr="00B10B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l-izomeri)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enfüzyonu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sırasında kan basıncında dikkati çekecek kadar bir düşme gözlenirse, </w:t>
      </w:r>
      <w:proofErr w:type="spellStart"/>
      <w:r w:rsidR="00102AF1"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="00102AF1" w:rsidRPr="00B10B71">
        <w:rPr>
          <w:rFonts w:ascii="Times New Roman" w:hAnsi="Times New Roman" w:cs="Times New Roman"/>
          <w:sz w:val="24"/>
          <w:szCs w:val="24"/>
        </w:rPr>
        <w:t xml:space="preserve"> hemen kesilmelidir.</w:t>
      </w:r>
    </w:p>
    <w:p w:rsidR="00B76DA4" w:rsidRPr="00B10B71" w:rsidRDefault="00B76DA4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Sodyum içeriği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Bu tıbbi ürün her 100 ml dozunda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15.</w:t>
      </w:r>
      <w:r w:rsidR="00DE7F2D" w:rsidRPr="00B10B7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(</w:t>
      </w:r>
      <w:r w:rsidR="00DE7F2D" w:rsidRPr="00B10B71">
        <w:rPr>
          <w:rFonts w:ascii="Times New Roman" w:hAnsi="Times New Roman" w:cs="Times New Roman"/>
          <w:sz w:val="24"/>
          <w:szCs w:val="24"/>
        </w:rPr>
        <w:t>354</w:t>
      </w:r>
      <w:r w:rsidRPr="00B10B71">
        <w:rPr>
          <w:rFonts w:ascii="Times New Roman" w:hAnsi="Times New Roman" w:cs="Times New Roman"/>
          <w:sz w:val="24"/>
          <w:szCs w:val="24"/>
        </w:rPr>
        <w:t xml:space="preserve"> mg) sodyum ihtiva eder. Bu durum,</w:t>
      </w:r>
      <w:r w:rsidR="00022D2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kontrollü sodyum diyetinde olan hastalar için göz önünde bulundurulmalıdır.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K vitamini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antagonistleriyle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tedavi edilen hastalar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K vitamini antagonisti (örn.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) ile tedavi edilen hastalarda birlikte </w:t>
      </w:r>
      <w:r w:rsidR="00DE7F2D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kullanılması durumunda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testlerinde (PT/INR) yükselme ve/veya kanamada artış ihtimaline karşı, bu ilaçların birlikte kullanılması durumunda,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testleriyle takip yapılması gereklidir (</w:t>
      </w:r>
      <w:r w:rsidR="008017F8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8017F8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A4" w:rsidRPr="00B10B71" w:rsidRDefault="00B76DA4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lastRenderedPageBreak/>
        <w:t>Psikotik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reaksiyonlar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alan hastalarda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reaksiyonlar geliştiği bildirilmiştir. Çok</w:t>
      </w:r>
      <w:r w:rsidR="00004E7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nadir olgularda, bazen tek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dozunu takiben intihar düşüncelerine kapılma ve</w:t>
      </w:r>
      <w:r w:rsidR="00004E7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kendini tehlikeye atan davranışlar görülmüştür (</w:t>
      </w:r>
      <w:r w:rsidR="00004E75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004E75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). Hastada bu gibi reaksiyonlar</w:t>
      </w:r>
      <w:r w:rsidR="00004E7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gelişirse,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kesilmeli ve uygun önlemler alınmalıdır.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bozukluğu olan</w:t>
      </w:r>
      <w:r w:rsidR="00004E7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veya psikiyatrik hastalık öyküsü bulunan hastalarda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kullanılması gerekiyorsa,</w:t>
      </w:r>
      <w:r w:rsidR="00004E7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dikkatli olunmalıdır.</w:t>
      </w: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Opiatlar</w:t>
      </w:r>
      <w:proofErr w:type="spellEnd"/>
    </w:p>
    <w:p w:rsidR="00102AF1" w:rsidRPr="00B10B71" w:rsidRDefault="00102AF1" w:rsidP="00102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tedavi edilen hastalarda, idrarda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opiatların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tespitinde yalancı pozitif sonuçlar alınabilir. Bu nedenle, pozitif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opiat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neticesinin daha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bir metotla doğrulanması gerekebilir.</w:t>
      </w:r>
    </w:p>
    <w:p w:rsidR="00102AF1" w:rsidRPr="00B10B71" w:rsidRDefault="00102AF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Teofilin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fenbufen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veya benzeri diğer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nonsteroidal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antienflamatuvar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ilaçlar</w:t>
      </w:r>
    </w:p>
    <w:p w:rsidR="00B03A44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Yapılan bir klinik çalışmada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teofilin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arasında herhangi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="00B03A4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etkileşim bulunmamıştır. Fakat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eşiğini düşüren ilaçlar,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teofilin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nonsteroidal</w:t>
      </w:r>
      <w:proofErr w:type="spellEnd"/>
      <w:r w:rsidR="00B03A4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antienflamatuvar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ilaçların,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grubu bir antibiyotik ile birlikte kullanılması halinde,</w:t>
      </w:r>
      <w:r w:rsidR="00B03A4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beyin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eşiğinde belirgin bir düşme görülebilir.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Tek başına uygulanmasına kıyasla,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fenbufen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birlikte kullanıldığında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B03A4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konsantrasyonu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yaklaşık olarak % 13 oranında daha yüksek bulunmaktadır.</w:t>
      </w:r>
    </w:p>
    <w:p w:rsidR="00F0182A" w:rsidRPr="00B10B71" w:rsidRDefault="00F0182A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Probenesid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simetidin</w:t>
      </w:r>
      <w:proofErr w:type="spellEnd"/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simetidin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böbrek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sekresyonunu</w:t>
      </w:r>
      <w:proofErr w:type="spellEnd"/>
      <w:r w:rsidR="00B03A4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azaltan ilaçlarla birlikte uygulandığında, özellikle böbrek yetmezliği olan hastalarda dikkatli</w:t>
      </w:r>
      <w:r w:rsidR="00B03A4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olunmalıdır.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simetidin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eliminasyonu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üstünde istatistiksel olarak önemli ölçüde etki yapmaktadır.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klirensi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simetidin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% 24 oranında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% 34 oranında azalmaktadır. Bunun nedeni her iki ilacın 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sekresyonunu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bloke etmesidir. Ancak yapılan çalışmada incelenen dozlarda,</w:t>
      </w:r>
      <w:r w:rsidR="00FB7FA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istatistiksel olarak anlamlı görülen kinetik farklılıkların, klinik açıdan anlamlılık taşıması</w:t>
      </w:r>
      <w:r w:rsidR="00FB7FA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ihtimali yoktur.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lastRenderedPageBreak/>
        <w:t>Siklosporin</w:t>
      </w:r>
      <w:proofErr w:type="spellEnd"/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Siklosporinin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yarı-ömrü,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birlikte uygulandığında % 33 oranında artmaktadır.</w:t>
      </w:r>
      <w:r w:rsidR="00FB7FA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Bu durum klinik açıdan önemli olmadığı için, doz ayarlamasına gerek yoktur.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K vitamini </w:t>
      </w:r>
      <w:proofErr w:type="gramStart"/>
      <w:r w:rsidRPr="00B10B71">
        <w:rPr>
          <w:rFonts w:ascii="Times New Roman" w:hAnsi="Times New Roman" w:cs="Times New Roman"/>
          <w:sz w:val="24"/>
          <w:szCs w:val="24"/>
          <w:u w:val="single"/>
        </w:rPr>
        <w:t>antagonistleri</w:t>
      </w:r>
      <w:proofErr w:type="gramEnd"/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birlikte, bir K vitamini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antagonisti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(örneğin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 ile tedavi edilen</w:t>
      </w:r>
      <w:r w:rsidR="00FB7FA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hastalardaki pıhtılaşma testleri (PT/INR) ve/veya kanamada şiddetli olabilen artışlar</w:t>
      </w:r>
      <w:r w:rsidR="00FB7FA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bildirildiğinden, K vitamini antagonistleri ile tedavi edilen hastalarda pıhtılaşma testleri</w:t>
      </w:r>
      <w:r w:rsidR="00FB7FA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yakından takip edilmelidir.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Hastalar kanama belirtisi yönünden de dikkatli bir şekilde takip edilmelidir (</w:t>
      </w:r>
      <w:r w:rsidR="005510EA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5510EA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QT aralığını uzattığı bilinen ilaçlar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diğer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olduğu gibi, QT aralığını uzattığı bilinen ilaçları (örneğin Sınıf IA ve III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antiaritmikler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trisiklik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antidepresanlar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makrolidler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antipsikotikler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 alan hastalarda dikkatli kullanılmalıdır (</w:t>
      </w:r>
      <w:r w:rsidR="00FD58F7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FD58F7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, QT aralığının uzaması).</w:t>
      </w: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F9" w:rsidRPr="00B10B71" w:rsidRDefault="002C4AF9" w:rsidP="002C4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Diğer klinik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farmakoloji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çalışmalarında,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digoksin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glibenklamid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ranitidin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ile birlikte uygulanması halinde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farmakokinetiğinde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klinikte önemi olabilecek her hangi bir değişiklik olmadığı gösterilmiştir.</w:t>
      </w:r>
    </w:p>
    <w:p w:rsidR="00FD58F7" w:rsidRPr="00B10B71" w:rsidRDefault="00FD58F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 xml:space="preserve">Gebelik ve </w:t>
      </w: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</w:p>
    <w:p w:rsidR="00BE6FEB" w:rsidRPr="00B10B71" w:rsidRDefault="00BE6FEB" w:rsidP="00EB00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Gebelik kategorisi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C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0117EA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gebe kadınlarda kullanımına ilişkin yeterli veri mevcut değildir.</w:t>
      </w:r>
    </w:p>
    <w:p w:rsidR="000117EA" w:rsidRPr="00B10B71" w:rsidRDefault="000117EA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A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kadınlar/Doğum kontrolü (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Çocuk doğurma potansiyeli bulunan kadınlarda kullanımına ilişkin yeterli veri mevcut değildir.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Hayvanlar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üzerinde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yapılan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çalışmalar,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gebelik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ve/veya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embriyonal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gelişim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ve/veya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doğum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ve/veya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doğum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sonrası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gelişim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üzerindeki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etkiler bakımından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yetersizdir. (</w:t>
      </w:r>
      <w:r w:rsidR="000117EA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>kz.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B</w:t>
      </w:r>
      <w:r w:rsidRPr="00B10B71">
        <w:rPr>
          <w:rFonts w:ascii="Times New Roman" w:hAnsi="Times New Roman" w:cs="Times New Roman"/>
          <w:sz w:val="24"/>
          <w:szCs w:val="24"/>
        </w:rPr>
        <w:t>ölüm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853234" w:rsidRPr="00B10B71">
        <w:rPr>
          <w:rFonts w:ascii="Times New Roman" w:hAnsi="Times New Roman" w:cs="Times New Roman"/>
          <w:sz w:val="24"/>
          <w:szCs w:val="24"/>
        </w:rPr>
        <w:t xml:space="preserve">ve </w:t>
      </w:r>
      <w:r w:rsidRPr="00B10B71">
        <w:rPr>
          <w:rFonts w:ascii="Times New Roman" w:hAnsi="Times New Roman" w:cs="Times New Roman"/>
          <w:sz w:val="24"/>
          <w:szCs w:val="24"/>
        </w:rPr>
        <w:t>5.3).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İnsanlara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yönelik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potansiyel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risk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bilinmemektedir.</w:t>
      </w:r>
      <w:r w:rsidR="000117E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İnsanlarla ilgili verilerin yeterli olmaması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florokinolonlarla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yapılan deneysel çalışmalarda büyüyen organizmalarda ağırlık </w:t>
      </w: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taşıyan kıkırdağa zarar verme riskinin gösterilmesi nedeniyle, </w:t>
      </w:r>
      <w:r w:rsidR="0095124E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 gebelik döneminde kullanılmamalıdır.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dönemi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insan ya da hayvan sütü ile atıldığına ilişkin yetersiz/sınırlı bilgi mevcuttur.</w:t>
      </w:r>
      <w:r w:rsidR="000C79E3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süt ile atılmasına yönelik fizikokimyasal ve eldeki farmakodinamik/</w:t>
      </w:r>
      <w:r w:rsidR="000C79E3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toksikolojik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veriler nedeniyle emzirilen çocuk açısından bir risk olduğu göz ardı edilemez.</w:t>
      </w:r>
      <w:r w:rsidR="000C79E3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Florokinolonlarla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yapılan deneysel çalışmalarda büyüyen organizmalarda ağırlık taşıyan</w:t>
      </w:r>
      <w:r w:rsidR="000C79E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kıkırdağa zarar verme riskinin gösterilmesi nedeniyle, </w:t>
      </w:r>
      <w:r w:rsidR="00291CEE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 emzirme</w:t>
      </w:r>
      <w:r w:rsidR="000C79E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döneminde kullanılmamalıdır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r w:rsidR="00853234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853234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 5.3).</w:t>
      </w: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F7" w:rsidRPr="00B10B71" w:rsidRDefault="00FD58F7" w:rsidP="00FD58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Üreme yeteneği/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Fertilite</w:t>
      </w:r>
      <w:proofErr w:type="spellEnd"/>
    </w:p>
    <w:p w:rsidR="00FD58F7" w:rsidRPr="00B10B71" w:rsidRDefault="00853234" w:rsidP="00FD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n</w:t>
      </w:r>
      <w:r w:rsidR="00EF71E0" w:rsidRPr="00B10B71">
        <w:rPr>
          <w:rFonts w:ascii="Times New Roman" w:hAnsi="Times New Roman" w:cs="Times New Roman"/>
          <w:sz w:val="24"/>
          <w:szCs w:val="24"/>
        </w:rPr>
        <w:t>u</w:t>
      </w:r>
      <w:r w:rsidRPr="00B10B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D58F7" w:rsidRPr="00B10B71">
        <w:rPr>
          <w:rFonts w:ascii="Times New Roman" w:hAnsi="Times New Roman" w:cs="Times New Roman"/>
          <w:sz w:val="24"/>
          <w:szCs w:val="24"/>
        </w:rPr>
        <w:t xml:space="preserve"> insanlar üzerindeki üreme yeteneğine ilişkin yeterli veri mevcut değildir.</w:t>
      </w:r>
    </w:p>
    <w:p w:rsidR="00616E59" w:rsidRPr="00B10B71" w:rsidRDefault="00616E59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E2F71" w:rsidRPr="00B10B71" w:rsidRDefault="006E2F71" w:rsidP="006E2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FLOXİLEVO kullanımı, hastanın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konsantrasyon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 tepki verme yeteneğini bozabilecek sersemlik/baş dönmesi, görme bozuklukları, uyuklama gibi bazı istenmeyen yan etkilere yol açabilir. Araç ve makine kullanımı gibi özel dikkat isteyen durumlarda bu yeteneklerdeki azalma bir risk teşkil edebilir. </w:t>
      </w:r>
      <w:r w:rsidR="006C2852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kullanırken bu gibi yan etkiler yaşayan hastaların araç ve makine kullanmaması gerekir.</w:t>
      </w:r>
    </w:p>
    <w:p w:rsidR="006E2F71" w:rsidRPr="00B10B71" w:rsidRDefault="006E2F71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F41214" w:rsidRPr="00B10B71" w:rsidRDefault="00F41214" w:rsidP="00F41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Aşağıda verilen bilgiler 5000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den fazla hastanın katıldığı klinik araştırmalardan ve pazarlama</w:t>
      </w:r>
      <w:r w:rsidR="00060A2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sonrası deneyimlerden elde edilen verileri temel almaktadır.</w:t>
      </w:r>
    </w:p>
    <w:p w:rsidR="00F41214" w:rsidRPr="00B10B71" w:rsidRDefault="00F41214" w:rsidP="00F41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Çok yaygın (≥ 1/10); yaygın (≥ 1/100 ila &lt; 1/10); yaygın olmayan (≥ 1/1.000 ila &lt; 1/100);</w:t>
      </w:r>
      <w:r w:rsidR="00060A2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060A2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(≥ 1/10.000 ila &lt; 1/1.000); çok seyrek (&lt;1/10.000), bilinmiyor (eldeki verilerden</w:t>
      </w:r>
      <w:r w:rsidR="00060A2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hareketle tahmin edilemiyor).</w:t>
      </w:r>
    </w:p>
    <w:p w:rsidR="00F41214" w:rsidRPr="00B10B71" w:rsidRDefault="00F41214" w:rsidP="00F41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Her sıklık grubu içinde sunulan istenmeyen etkiler azalan şiddete göre sıralanmıştır.</w:t>
      </w:r>
    </w:p>
    <w:p w:rsidR="00F41214" w:rsidRPr="00B10B71" w:rsidRDefault="00F41214" w:rsidP="00F41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Enfeksiyonlar ve 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enfestasyonlar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76521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Mantar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patojen direnci</w:t>
      </w:r>
    </w:p>
    <w:p w:rsidR="00291DEF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Kan ve lenf sistemi bozuklukları</w:t>
      </w:r>
    </w:p>
    <w:p w:rsidR="00291DEF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76521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eozinofili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765214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</w:p>
    <w:p w:rsidR="00211C28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Bilinmiyor (pazarlama sonrası veriler):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Pansitopeni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agranülositoz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anemi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Bağışıklık sistemi bozuklukları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Anjiyoödem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Bilinmiyor (pazarlama sonrası verileri):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şok,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şok.</w:t>
      </w:r>
    </w:p>
    <w:p w:rsidR="00F41214" w:rsidRPr="00B10B71" w:rsidRDefault="00F41214" w:rsidP="00765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İlk dozdan sonra bile bazen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anafilaksi benzeri reaksiyonlar meydana gelebilir</w:t>
      </w:r>
      <w:r w:rsidR="0076521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).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Metabolizma ve beslenme bozuklukları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Anoreksi</w:t>
      </w:r>
      <w:proofErr w:type="spellEnd"/>
    </w:p>
    <w:p w:rsidR="00765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Özellikle diyabetli hastalarda hipoglisemi 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Bilinmiyor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Hipoglisemik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koma 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Psikiyatrik bozukluklar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İnsomnia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durumu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765214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bozukluk (örn. halüsinasyonlarla birlikte), depresyon,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ajitasyon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anormal</w:t>
      </w:r>
      <w:r w:rsidR="00765214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rüyalar, kabuslar</w:t>
      </w:r>
    </w:p>
    <w:p w:rsidR="00F41214" w:rsidRPr="00B10B71" w:rsidRDefault="00F41214" w:rsidP="00765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Bilinmiyor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(pazarlama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sonrası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veriler):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İntihar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düşünceleri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intihar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girişimi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de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, kendine zarar verici davranışlarla birlikte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reaksiyonlar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Sinir sistemi bozuklukları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Baş ağrısı, sersemlik</w:t>
      </w:r>
    </w:p>
    <w:p w:rsidR="008412BA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 tremor, t</w:t>
      </w:r>
      <w:r w:rsidR="008412BA" w:rsidRPr="00B10B71">
        <w:rPr>
          <w:rFonts w:ascii="Times New Roman" w:hAnsi="Times New Roman" w:cs="Times New Roman"/>
          <w:sz w:val="24"/>
          <w:szCs w:val="24"/>
        </w:rPr>
        <w:t>at duyusunda bozukluk (</w:t>
      </w:r>
      <w:proofErr w:type="spellStart"/>
      <w:r w:rsidR="008412BA" w:rsidRPr="00B10B71">
        <w:rPr>
          <w:rFonts w:ascii="Times New Roman" w:hAnsi="Times New Roman" w:cs="Times New Roman"/>
          <w:sz w:val="24"/>
          <w:szCs w:val="24"/>
        </w:rPr>
        <w:t>disguzi</w:t>
      </w:r>
      <w:proofErr w:type="spellEnd"/>
      <w:r w:rsidR="008412BA" w:rsidRPr="00B10B71">
        <w:rPr>
          <w:rFonts w:ascii="Times New Roman" w:hAnsi="Times New Roman" w:cs="Times New Roman"/>
          <w:sz w:val="24"/>
          <w:szCs w:val="24"/>
        </w:rPr>
        <w:t>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Parestezi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),</w:t>
      </w:r>
    </w:p>
    <w:p w:rsidR="00F41214" w:rsidRPr="00B10B71" w:rsidRDefault="00F41214" w:rsidP="00841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Bilinmiyor (pazarlama sonrası veriler): Duyusal ve duyusal-motor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nöropati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(bkz. Bölüm 4.4),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bozukluk, tat duyusu kaybı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aguzi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), koku duyusu kaybı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anosmi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koku alma bozuklukları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parosmi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Göz bozuklukları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Bulanık görüş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görme yeteneğinde bozulma</w:t>
      </w:r>
    </w:p>
    <w:p w:rsidR="008412BA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Kulak ve iç kulak hastalıkları</w:t>
      </w:r>
    </w:p>
    <w:p w:rsidR="008412BA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Vertigo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Kulak çınlaması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Bilinmiyor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İşitme yeteneğinde bozulma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Kardiyak bozukluklar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8412BA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Taşikardi</w:t>
      </w:r>
    </w:p>
    <w:p w:rsidR="00F41214" w:rsidRPr="00B10B71" w:rsidRDefault="00F41214" w:rsidP="00841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Bilinmiyor (pazarlama sonrası veriler): Kalp durmasıyla sonuçlanabilen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Torsade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pointes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780283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aritmi,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taşikardi, elektrokardiyogramda QT aralığının uzaması (</w:t>
      </w:r>
      <w:r w:rsidR="00780283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>kz.</w:t>
      </w:r>
      <w:r w:rsidR="00780283" w:rsidRPr="00B10B71">
        <w:rPr>
          <w:rFonts w:ascii="Times New Roman" w:hAnsi="Times New Roman" w:cs="Times New Roman"/>
          <w:sz w:val="24"/>
          <w:szCs w:val="24"/>
        </w:rPr>
        <w:t xml:space="preserve"> 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, QT aralığı uzaması ve Bölüm 4.9).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Vasküler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bozukluklar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</w:t>
      </w:r>
      <w:r w:rsidR="0078028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Flebit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78028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Hipotansiyon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Solunum, göğüs bozuklukları ve 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mediastinal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hastalıklar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78028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780283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Dispne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Bilinmiyor (pazarlama sonrası veriler):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Bronkospazm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alerjik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pnömoni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bozukluklar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</w:t>
      </w:r>
      <w:r w:rsidR="0078028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 kusma, bulantı</w:t>
      </w:r>
    </w:p>
    <w:p w:rsidR="0001219C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78028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K</w:t>
      </w:r>
      <w:r w:rsidR="0001219C" w:rsidRPr="00B10B71">
        <w:rPr>
          <w:rFonts w:ascii="Times New Roman" w:hAnsi="Times New Roman" w:cs="Times New Roman"/>
          <w:sz w:val="24"/>
          <w:szCs w:val="24"/>
        </w:rPr>
        <w:t xml:space="preserve">arın ağrısı, </w:t>
      </w:r>
      <w:proofErr w:type="spellStart"/>
      <w:r w:rsidR="0001219C" w:rsidRPr="00B10B71">
        <w:rPr>
          <w:rFonts w:ascii="Times New Roman" w:hAnsi="Times New Roman" w:cs="Times New Roman"/>
          <w:sz w:val="24"/>
          <w:szCs w:val="24"/>
        </w:rPr>
        <w:t>dispepsi</w:t>
      </w:r>
      <w:proofErr w:type="spellEnd"/>
    </w:p>
    <w:p w:rsidR="00F41214" w:rsidRPr="00B10B71" w:rsidRDefault="00F41214" w:rsidP="00012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Bilinmiyor (pazarlama sonrası veriler):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Hemorajik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–çok seyrek olgularda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psödomembranöz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kolit (bkz. Bölüm 4.4)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enterokolite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işaret edebilir.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biliyer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bozukluklar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</w:t>
      </w:r>
      <w:r w:rsidR="0001219C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Karaciğer enzimlerinde artış (ALT/AST)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01219C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Kanda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artışı</w:t>
      </w:r>
    </w:p>
    <w:p w:rsidR="00F41214" w:rsidRPr="00B10B71" w:rsidRDefault="00F41214" w:rsidP="00012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Bilinmiyor (pazarlama sonrası veriler): Ağır karaciğer hasarı.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olarak altta yatan ciddi hastalığı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bulunan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hastalarda,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ile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bazen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ölümcül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olabilen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akut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karaciğer yetmezliği gelişen olgular rapor edilmiştir 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), hepatit.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Deri ve derialtı dokusu hastalıkları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01219C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Kaşıntı, kızarıklık, ürtiker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Bilinmiyor</w:t>
      </w:r>
      <w:r w:rsidR="0001219C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epidermal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nekroliz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Stevens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-Johnson sendromu (bkz. Bölüm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eritema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multiforme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fotosensitivite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reaksiyonu (bkz. Bölüm 4.4),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lökositoklastik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vaskülit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. Bazen ilk dozu takiben bile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mukokütanöz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reaksiyonlar meydana gelebilir.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Kas-iskelet bozuklukları, bağ dokusu ve kemik hastalıkları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01219C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Artralji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miyalji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01219C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bozukluğu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r w:rsidR="00BB66B3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>kz.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BB66B3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>ölüm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4.4)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(örneğin</w:t>
      </w:r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Aşil</w:t>
      </w:r>
      <w:proofErr w:type="spellEnd"/>
      <w:r w:rsidR="008412B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tendonunda</w:t>
      </w:r>
      <w:proofErr w:type="spellEnd"/>
      <w:r w:rsidR="001B4496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gelişebilir),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Myastenia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Gravis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hastalarda özel önem taşıyan kas güçsüzlüğü (</w:t>
      </w:r>
      <w:r w:rsidR="001B4496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kz. </w:t>
      </w:r>
      <w:r w:rsidR="001B4496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>ölüm</w:t>
      </w:r>
      <w:r w:rsidR="001B4496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Myastenia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Gravis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şiddetlenmesi)</w:t>
      </w:r>
    </w:p>
    <w:p w:rsidR="00F41214" w:rsidRPr="00B10B71" w:rsidRDefault="00F41214" w:rsidP="001B4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Bilinmiyor (pazarlama sonrası veriler):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Rabdomiyoliz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rüptürü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(örn.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Aşil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tendonu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) (bkz. </w:t>
      </w:r>
      <w:r w:rsidR="001B4496" w:rsidRPr="00B10B71">
        <w:rPr>
          <w:rFonts w:ascii="Times New Roman" w:hAnsi="Times New Roman" w:cs="Times New Roman"/>
          <w:sz w:val="24"/>
          <w:szCs w:val="24"/>
        </w:rPr>
        <w:t>B</w:t>
      </w:r>
      <w:r w:rsidRPr="00B10B71">
        <w:rPr>
          <w:rFonts w:ascii="Times New Roman" w:hAnsi="Times New Roman" w:cs="Times New Roman"/>
          <w:sz w:val="24"/>
          <w:szCs w:val="24"/>
        </w:rPr>
        <w:t xml:space="preserve">ölüm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lastRenderedPageBreak/>
        <w:t>Böbrek ve idrar hastalıkları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E207C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Kan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düzeyinin artması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E207C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Akut böbrek yetmezliği (örn.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interstisyel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nefrite bağlı)</w:t>
      </w:r>
    </w:p>
    <w:p w:rsidR="00E207C3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Genel bozukluklar ve uygulama bölgesine ilişkin hastalıklar</w:t>
      </w:r>
    </w:p>
    <w:p w:rsidR="00E207C3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</w:t>
      </w:r>
      <w:r w:rsidR="00E207C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yapılan bölgede reaksiyon (ağrı, kızarıklık)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Yaygın olmayan</w:t>
      </w:r>
      <w:r w:rsidR="00E207C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Asteni</w:t>
      </w:r>
      <w:proofErr w:type="spellEnd"/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Seyrek</w:t>
      </w:r>
      <w:r w:rsidR="00E207C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Ateş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 uygulanmasıyla ilişkili diğer istenmeyen etkiler:</w:t>
      </w:r>
    </w:p>
    <w:p w:rsidR="00F41214" w:rsidRPr="00B10B71" w:rsidRDefault="00F41214" w:rsidP="00765214">
      <w:pPr>
        <w:tabs>
          <w:tab w:val="left" w:pos="2127"/>
        </w:tabs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Çok seyrek</w:t>
      </w:r>
      <w:r w:rsidR="00E207C3" w:rsidRPr="00B10B71">
        <w:rPr>
          <w:rFonts w:ascii="Times New Roman" w:hAnsi="Times New Roman" w:cs="Times New Roman"/>
          <w:sz w:val="24"/>
          <w:szCs w:val="24"/>
        </w:rPr>
        <w:tab/>
      </w:r>
      <w:r w:rsidRPr="00B10B71">
        <w:rPr>
          <w:rFonts w:ascii="Times New Roman" w:hAnsi="Times New Roman" w:cs="Times New Roman"/>
          <w:sz w:val="24"/>
          <w:szCs w:val="24"/>
        </w:rPr>
        <w:t>: Porfiri hastalığı bulunanlarda porfiri atakları</w:t>
      </w:r>
    </w:p>
    <w:p w:rsidR="00F41214" w:rsidRPr="00B10B71" w:rsidRDefault="00F41214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EC" w:rsidRPr="00B10B71" w:rsidRDefault="00561CEC" w:rsidP="00561CEC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B10B71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B10B71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B10B71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561CEC" w:rsidRPr="00B10B71" w:rsidRDefault="00561CEC" w:rsidP="00561CEC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B10B71">
        <w:rPr>
          <w:rFonts w:ascii="Times New Roman" w:hAnsi="Times New Roman"/>
          <w:sz w:val="24"/>
          <w:szCs w:val="24"/>
          <w:lang w:eastAsia="nl-NL"/>
        </w:rPr>
        <w:t>Ruhsatland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rma sonras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B10B71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B10B71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B10B71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n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n raporlanmas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B10B71">
        <w:rPr>
          <w:rFonts w:ascii="Times New Roman" w:hAnsi="Times New Roman"/>
          <w:sz w:val="24"/>
          <w:szCs w:val="24"/>
          <w:lang w:eastAsia="nl-NL"/>
        </w:rPr>
        <w:t>maktad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lmas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, ilac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B10B71">
        <w:rPr>
          <w:rFonts w:ascii="Times New Roman" w:hAnsi="Times New Roman"/>
          <w:sz w:val="24"/>
          <w:szCs w:val="24"/>
          <w:lang w:eastAsia="nl-NL"/>
        </w:rPr>
        <w:t>lar. Sa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B10B71">
        <w:rPr>
          <w:rFonts w:ascii="Times New Roman" w:hAnsi="Times New Roman"/>
          <w:sz w:val="24"/>
          <w:szCs w:val="24"/>
          <w:lang w:eastAsia="nl-NL"/>
        </w:rPr>
        <w:t>l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k mesle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B10B71">
        <w:rPr>
          <w:rFonts w:ascii="Times New Roman" w:hAnsi="Times New Roman"/>
          <w:sz w:val="24"/>
          <w:szCs w:val="24"/>
          <w:lang w:eastAsia="nl-NL"/>
        </w:rPr>
        <w:t>i mensuplar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>n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B10B71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B10B71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B10B71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B10B71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B10B71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B10B71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B10B71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B10B71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proofErr w:type="spellStart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B10B71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B10B71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561CEC" w:rsidRPr="00B10B71" w:rsidRDefault="00561CEC" w:rsidP="00561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B10B71" w:rsidRDefault="00BE6FEB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Belirtiler:</w:t>
      </w: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Hayvanlarda yapılan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çalışmalarına göre </w:t>
      </w:r>
      <w:r w:rsidR="00E9677B" w:rsidRPr="00B10B71">
        <w:rPr>
          <w:rFonts w:ascii="Times New Roman" w:hAnsi="Times New Roman" w:cs="Times New Roman"/>
          <w:sz w:val="24"/>
          <w:szCs w:val="24"/>
        </w:rPr>
        <w:t>FLOXİLEVO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çözeltisinin akut aşırı dozu durumunda beklenmesi gereken en önemli işaretler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sersemlik, bilinç bozukluğu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konvülsif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nöbetlerdir.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durumu,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halüsinasyon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 tremoru da içeren merkezi sinir sistemi etkileri, pazarlama sonrası deneyimlerde gözlenmiştir.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sistemle ilgili reaksiyonlar bulantı ve mukoza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erezyonlarıdır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Supra</w:t>
      </w:r>
      <w:proofErr w:type="spellEnd"/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dozlarla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yapılan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klinik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farmakoloji</w:t>
      </w:r>
      <w:proofErr w:type="gramEnd"/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çalışmalarında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QT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aralığında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uzama görülmüştür.</w:t>
      </w:r>
    </w:p>
    <w:p w:rsidR="00E9677B" w:rsidRPr="00B10B71" w:rsidRDefault="00E9677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Tedavi:</w:t>
      </w: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Aşırı doz durumunda hasta dikkatle izlenmeli, QT aralığında uzama ihtimali olduğundan EKG takibi yapılmalı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tedavi uygulanmalıdır. Mide mukozasının korunması için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antasidler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uygulanabilir.</w:t>
      </w:r>
    </w:p>
    <w:p w:rsidR="005712BB" w:rsidRPr="00B10B71" w:rsidRDefault="005712BB" w:rsidP="005712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Hemodiyaliz,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peritoneal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diyaliz veya sürekli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ambulatuvar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peritoneal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diyaliz,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vücuttan uzaklaştırılmasında etkili değildir. Spesifik bir antidotu yoktur.</w:t>
      </w: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grup: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</w:t>
      </w:r>
      <w:proofErr w:type="spellEnd"/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ATC Kodu: J01MA</w:t>
      </w:r>
      <w:r w:rsidR="005B0817" w:rsidRPr="00B10B71">
        <w:rPr>
          <w:rFonts w:ascii="Times New Roman" w:hAnsi="Times New Roman" w:cs="Times New Roman"/>
          <w:sz w:val="24"/>
          <w:szCs w:val="24"/>
        </w:rPr>
        <w:t>12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lastRenderedPageBreak/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sınıfından sentetik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ilaçtır.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Rasemik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ilaç maddesi</w:t>
      </w:r>
      <w:r w:rsidR="008752FC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olan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ofloksasin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(s) –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enantiomeridir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Etki mekanizması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ilaç olarak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DNA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giraz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kompleksi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</w:t>
      </w:r>
      <w:r w:rsidR="008752FC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topoizomeraz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IV üzerine etki yapar.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spektrumu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Direnç oranları coğrafik olarak ve seçilen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suş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için zamana bağlı olarak değişebilir ve direnç</w:t>
      </w:r>
      <w:r w:rsidR="008752FC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paternleri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bilgiler, özellikle şiddetli enfeksiyonların tedavisinde göz önünde</w:t>
      </w:r>
      <w:r w:rsidR="008752FC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bulundurulmalıdır.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2FC" w:rsidRPr="00B10B71" w:rsidRDefault="008752FC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İ</w:t>
      </w:r>
      <w:r w:rsidR="00E9677B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proofErr w:type="spellStart"/>
      <w:r w:rsidR="00E9677B" w:rsidRPr="00B10B71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="00E9677B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677B" w:rsidRPr="00B10B71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spellStart"/>
      <w:r w:rsidR="00E9677B"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E9677B" w:rsidRPr="00B10B71">
        <w:rPr>
          <w:rFonts w:ascii="Times New Roman" w:hAnsi="Times New Roman" w:cs="Times New Roman"/>
          <w:sz w:val="24"/>
          <w:szCs w:val="24"/>
        </w:rPr>
        <w:t xml:space="preserve"> aşağıda belirtilen patojenlere etkin olduğu gösterilmiştir:</w:t>
      </w:r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2FC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Gram-pozitif</w:t>
      </w:r>
      <w:r w:rsidR="00B3119F"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aerob</w:t>
      </w:r>
      <w:proofErr w:type="spellEnd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B3119F"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Bacillus</w:t>
      </w:r>
      <w:proofErr w:type="spellEnd"/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anthracis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diphtheriae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Enterecoccus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Listeria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monocytogenes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Koagülaz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negatif stafilokoklar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duyarlı),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duyarlı)*,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duyarlı)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saprophyticus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C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grubu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streptokoklar,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agalactiae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(penisiline duyarlı/orta düzeyde dirençli/dirençli)*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pyogenes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Viridans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streptokoklar (penisiline</w:t>
      </w:r>
      <w:r w:rsidR="008752FC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dirençli/duyarlı)</w:t>
      </w:r>
      <w:proofErr w:type="gramEnd"/>
    </w:p>
    <w:p w:rsidR="00BF3EA3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Gram-negatif </w:t>
      </w:r>
      <w:proofErr w:type="spell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aerob</w:t>
      </w:r>
      <w:proofErr w:type="spellEnd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baumannii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Actinobaccillus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actinomycetemcomitans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freundii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Eikenella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corrodens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aerogenes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8752FC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cloacae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Gardnerella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vaginalis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ducreyi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ampisiline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duyarlı/dirençli),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parainfluenzae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Helicobacter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pylori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oxytoca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Moraxella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(beta-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-pozitif /beta-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-negatif)*,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Morganella</w:t>
      </w:r>
      <w:proofErr w:type="spellEnd"/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morganii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*,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gonorrhoeae</w:t>
      </w:r>
      <w:proofErr w:type="spellEnd"/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penisilaz</w:t>
      </w:r>
      <w:proofErr w:type="spellEnd"/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üreten/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penisilaz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üretmeyen),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meningitidis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Pasteurella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canis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Pasteurella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dagmatis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Pasteurella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multocida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Pasteurella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mirabilis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vulgaris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Providencia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rettgeri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Providencia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stuartii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Providencia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marcescens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Serratia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EA3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Anaerob</w:t>
      </w:r>
      <w:proofErr w:type="spellEnd"/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Bacteroides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fragilis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Bifidobacterium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perfringens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Fusobacterium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Peptostreptococcus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Propionibacterium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Veillonella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</w:p>
    <w:p w:rsidR="00BF3EA3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Diğer: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Bartonella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Chlamydia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Chlamydia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psittaci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Chlamydia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trachomatis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pneumophila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Legionella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leprae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tuberculosis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Mycoplasma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hominis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Mycoplasma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Rickettsia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Ureaplasma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urealyticum</w:t>
      </w:r>
      <w:proofErr w:type="spellEnd"/>
      <w:r w:rsidR="00BF3EA3" w:rsidRPr="00B10B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3EA3" w:rsidRPr="00B10B71" w:rsidRDefault="00BF3EA3" w:rsidP="00E967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Orta duyarlı mikroorganizmalar: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Gram-pozitif 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aerob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urealyticum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xerosis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proofErr w:type="spellEnd"/>
    </w:p>
    <w:p w:rsidR="009A5A15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faecium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dirençli)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haemolyticus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dirençli).</w:t>
      </w:r>
    </w:p>
    <w:p w:rsidR="009A5A15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Gram-negatif 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aerob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Campylobacter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jejuni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Anaerob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Prevotella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Cs/>
          <w:sz w:val="24"/>
          <w:szCs w:val="24"/>
        </w:rPr>
        <w:t>ve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Porphyromonas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spp</w:t>
      </w:r>
      <w:proofErr w:type="spellEnd"/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Dirençli mikroorganizmalar: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Gram-pozitif 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aerob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jeikeium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koagülaz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negatif methi-R,</w:t>
      </w:r>
    </w:p>
    <w:p w:rsidR="009A5A15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metisiline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dirençli).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Gram-negatif </w:t>
      </w: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aerob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Alcaligenes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xylosoxidans</w:t>
      </w:r>
      <w:proofErr w:type="spellEnd"/>
    </w:p>
    <w:p w:rsidR="009A5A15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bCs/>
          <w:sz w:val="24"/>
          <w:szCs w:val="24"/>
        </w:rPr>
        <w:t>Anaerob</w:t>
      </w:r>
      <w:proofErr w:type="spellEnd"/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Bacteriodes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thetaiotaomicron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 xml:space="preserve">Diğer: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Mycobacterium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avium</w:t>
      </w:r>
      <w:proofErr w:type="spellEnd"/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* Klinik etkinlikleri klinik araştırmalarda kanıtlanmıştır.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etkenli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nozokomiyal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enfeksiyonlarda </w:t>
      </w:r>
      <w:proofErr w:type="gram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kombinasyon</w:t>
      </w:r>
      <w:proofErr w:type="gram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tedavisi</w:t>
      </w:r>
      <w:r w:rsidR="009A5A15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gerekebilir.</w:t>
      </w:r>
    </w:p>
    <w:p w:rsidR="00EE07F4" w:rsidRPr="00B10B71" w:rsidRDefault="00EE07F4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Direnç</w:t>
      </w:r>
    </w:p>
    <w:p w:rsidR="00E9677B" w:rsidRPr="00B10B71" w:rsidRDefault="00E9677B" w:rsidP="00E96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Levofloksasine</w:t>
      </w:r>
      <w:proofErr w:type="spellEnd"/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direnç,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tip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topoizomeraz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</w:t>
      </w:r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giraz</w:t>
      </w:r>
      <w:proofErr w:type="spellEnd"/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topoizomeraz</w:t>
      </w:r>
      <w:proofErr w:type="spellEnd"/>
      <w:r w:rsidR="00B3119F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IV hedef bölge</w:t>
      </w:r>
      <w:r w:rsidR="009A5A1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mutasyonlarıyla, aşamalı bir süreç sonucunda kazanılır.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Permeasyon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bariyeri (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aeruginosa</w:t>
      </w:r>
      <w:r w:rsidR="00A66ABF" w:rsidRPr="00B10B71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sıktır) ve pompa mekanizmaları gibi diğer direnç mekanizmaları 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duyarlılığı etkileyebilir.</w:t>
      </w:r>
    </w:p>
    <w:p w:rsidR="00E9677B" w:rsidRPr="00B10B71" w:rsidRDefault="00E9677B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EC" w:rsidRPr="00B10B71" w:rsidRDefault="00561CEC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EC" w:rsidRPr="00B10B71" w:rsidRDefault="00561CEC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b/>
          <w:sz w:val="24"/>
          <w:szCs w:val="24"/>
        </w:rPr>
        <w:t>Farmakokinetik</w:t>
      </w:r>
      <w:proofErr w:type="spellEnd"/>
      <w:r w:rsidRPr="00B10B71">
        <w:rPr>
          <w:rFonts w:ascii="Times New Roman" w:hAnsi="Times New Roman" w:cs="Times New Roman"/>
          <w:b/>
          <w:sz w:val="24"/>
          <w:szCs w:val="24"/>
        </w:rPr>
        <w:t xml:space="preserve"> özellikler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Emilim: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Oral yoldan verilen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1-2 saat içinde pik plazma konsantrasyonlarının elde edilmesiyle hızla ve neredeyse tamamen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absorbe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olur (Tek doz 500 mg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ardından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C</w:t>
      </w:r>
      <w:r w:rsidRPr="00B10B7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5.2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+/-1.2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). Mutlak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%99-100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 xml:space="preserve">dür.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50 ila 1000 mg aralığında doğrusal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özellik gösterir.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Günde tek veya iki doz 500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alınmasından 48 saat sonra sabit duruma ulaşır.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Günde veya iki günde bir uygulanan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oral veya IV 500 mg doz uygulamasının 10.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gündeki doruk ve çukur plazma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konsantrasyonlarını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gösteren tablo aşağıdadır:</w:t>
      </w:r>
    </w:p>
    <w:tbl>
      <w:tblPr>
        <w:tblW w:w="92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8"/>
        <w:gridCol w:w="1440"/>
        <w:gridCol w:w="1460"/>
        <w:gridCol w:w="1841"/>
        <w:gridCol w:w="1844"/>
      </w:tblGrid>
      <w:tr w:rsidR="009A5A15" w:rsidRPr="00B10B71" w:rsidTr="00A30767"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  <w:r w:rsidR="00746CA2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Parametresi</w:t>
            </w:r>
          </w:p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(ortalama ±SD)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500 mg 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multipl</w:t>
            </w:r>
            <w:proofErr w:type="spell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-doz yönetimi</w:t>
            </w:r>
          </w:p>
        </w:tc>
      </w:tr>
      <w:tr w:rsidR="009A5A15" w:rsidRPr="00B10B71" w:rsidTr="00A30767"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6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 tek doz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Günde iki doz</w:t>
            </w:r>
          </w:p>
        </w:tc>
      </w:tr>
      <w:tr w:rsidR="009A5A15" w:rsidRPr="00B10B71" w:rsidTr="00A30767"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66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500 mg oral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500 mg IV*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2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500 mg oral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500 mg IV</w:t>
            </w:r>
          </w:p>
        </w:tc>
      </w:tr>
      <w:tr w:rsidR="009A5A15" w:rsidRPr="00B10B71" w:rsidTr="00A3076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Doruk</w:t>
            </w:r>
            <w:r w:rsidR="00746CA2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plazma</w:t>
            </w:r>
          </w:p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konsantrasyonu</w:t>
            </w:r>
            <w:proofErr w:type="gramEnd"/>
          </w:p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mcg</w:t>
            </w:r>
            <w:proofErr w:type="spell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66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5.7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6.4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2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7.8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7.9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End"/>
          </w:p>
        </w:tc>
      </w:tr>
      <w:tr w:rsidR="009A5A15" w:rsidRPr="00B10B71" w:rsidTr="00A3076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Çukur</w:t>
            </w:r>
            <w:r w:rsidR="00746CA2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plazma</w:t>
            </w:r>
          </w:p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konsantrasyonu</w:t>
            </w:r>
            <w:proofErr w:type="gramEnd"/>
          </w:p>
          <w:p w:rsidR="009A5A15" w:rsidRPr="00B10B71" w:rsidRDefault="009A5A15" w:rsidP="00A30767">
            <w:pPr>
              <w:spacing w:after="0" w:line="240" w:lineRule="auto"/>
              <w:ind w:left="186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mcg</w:t>
            </w:r>
            <w:proofErr w:type="spell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66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0.5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proofErr w:type="gram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4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0.6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2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3.0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15" w:rsidRPr="00B10B71" w:rsidRDefault="009A5A15" w:rsidP="00A30767">
            <w:pPr>
              <w:spacing w:after="0" w:line="240" w:lineRule="auto"/>
              <w:ind w:left="14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2.3 +/- </w:t>
            </w:r>
            <w:proofErr w:type="gram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proofErr w:type="gramEnd"/>
          </w:p>
        </w:tc>
      </w:tr>
    </w:tbl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*500 mg IV için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süresi 60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6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emilimi üzerinde gıdaların küçük bir etkisi vardır.</w:t>
      </w:r>
    </w:p>
    <w:p w:rsidR="00561CEC" w:rsidRPr="00B10B71" w:rsidRDefault="00561CEC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Dağılım: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Tek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tekrarlayan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500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750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dozlarının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uygulanmasından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sonra,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vücut dokularına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yaygın dağılım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gösteren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ortalama dağılım hacmi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yaklaşık 100</w:t>
      </w:r>
      <w:r w:rsidR="006E5615" w:rsidRPr="00B10B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yaklaşık %30-40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ı serum proteinlerine bağlanmış durumdadır.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A2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Dokulara ve vücut sıvılarına geçiş: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Bronşial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Mukoza,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Epitelyal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Mukus Sıvısına ve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Alveaolar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Makrofajlara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Penetrasyon</w:t>
      </w:r>
      <w:proofErr w:type="spellEnd"/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Tek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500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p.o.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dozdan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bronşial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mukozada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epitelyal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mukus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sıvısında</w:t>
      </w:r>
      <w:r w:rsidR="006E5615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maksimum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konsantrasyonları sırasıyla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8.3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="006E5615" w:rsidRPr="00B10B71">
        <w:rPr>
          <w:rFonts w:ascii="Times New Roman" w:hAnsi="Times New Roman" w:cs="Times New Roman"/>
          <w:sz w:val="24"/>
          <w:szCs w:val="24"/>
        </w:rPr>
        <w:t>µ</w:t>
      </w:r>
      <w:r w:rsidRPr="00B10B71">
        <w:rPr>
          <w:rFonts w:ascii="Times New Roman" w:hAnsi="Times New Roman" w:cs="Times New Roman"/>
          <w:sz w:val="24"/>
          <w:szCs w:val="24"/>
        </w:rPr>
        <w:t xml:space="preserve">g/g ve 10.9 </w:t>
      </w:r>
      <w:r w:rsidR="006E5615" w:rsidRPr="00B10B71">
        <w:rPr>
          <w:rFonts w:ascii="Times New Roman" w:hAnsi="Times New Roman" w:cs="Times New Roman"/>
          <w:sz w:val="24"/>
          <w:szCs w:val="24"/>
        </w:rPr>
        <w:t>µ</w:t>
      </w:r>
      <w:r w:rsidRPr="00B10B71">
        <w:rPr>
          <w:rFonts w:ascii="Times New Roman" w:hAnsi="Times New Roman" w:cs="Times New Roman"/>
          <w:sz w:val="24"/>
          <w:szCs w:val="24"/>
        </w:rPr>
        <w:t xml:space="preserve">g/ml olup mukozadan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epital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mukus sıvısından seruma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penetrasyon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oranları sırasıyla 1.1-1.8 ve 0.8-3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tür. Bu düzeylere, sırasıyla, verildikten yaklaşık 1 saat veya 4 saat sonra ulaşılmıştır.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5 gün boyunca 500 mg ve 750 mg oral uygulamanın ardından, son uygulamadan 4 saat sonraki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epitelyal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mukus sıvısında ortalama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konsantrasyonlar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sırasıyla 9.94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/ml ve 22.12</w:t>
      </w:r>
      <w:r w:rsidR="0086436F" w:rsidRPr="00B10B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Alveolar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makrofajda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sırasıyla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97.9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/ml ve 105.1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Akciğer Dokusuna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Penetrasyon</w:t>
      </w:r>
      <w:proofErr w:type="spellEnd"/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500 mg p.o. dozdan sonra akciğer dokusundaki maksimum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konsantrasyonları</w:t>
      </w:r>
      <w:proofErr w:type="gramEnd"/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11.3 </w:t>
      </w:r>
      <w:r w:rsidR="00A75CB4" w:rsidRPr="00B10B71">
        <w:rPr>
          <w:rFonts w:ascii="Times New Roman" w:hAnsi="Times New Roman" w:cs="Times New Roman"/>
          <w:sz w:val="24"/>
          <w:szCs w:val="24"/>
        </w:rPr>
        <w:t>µ</w:t>
      </w:r>
      <w:r w:rsidRPr="00B10B71">
        <w:rPr>
          <w:rFonts w:ascii="Times New Roman" w:hAnsi="Times New Roman" w:cs="Times New Roman"/>
          <w:sz w:val="24"/>
          <w:szCs w:val="24"/>
        </w:rPr>
        <w:t>g/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bu düzeylere, verildikten yaklaşık 4-6 saat sonra ulaşılmış olup akciğer dokusundan pl</w:t>
      </w:r>
      <w:r w:rsidR="005A6E90" w:rsidRPr="00B10B71">
        <w:rPr>
          <w:rFonts w:ascii="Times New Roman" w:hAnsi="Times New Roman" w:cs="Times New Roman"/>
          <w:sz w:val="24"/>
          <w:szCs w:val="24"/>
        </w:rPr>
        <w:t>azmaya dağılım oranı 2-5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="005A6E90" w:rsidRPr="00B10B71">
        <w:rPr>
          <w:rFonts w:ascii="Times New Roman" w:hAnsi="Times New Roman" w:cs="Times New Roman"/>
          <w:sz w:val="24"/>
          <w:szCs w:val="24"/>
        </w:rPr>
        <w:t>tir.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lastRenderedPageBreak/>
        <w:t>Bül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Sıvısına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Penetrasyo</w:t>
      </w:r>
      <w:r w:rsidR="00CD399C" w:rsidRPr="00B10B71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3 gün boyunca 500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dozun günde bir veya iki kez verilmesinden 2-4 saat sonra,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bül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sıvısı içinde sırasıyla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4.0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 6.7 </w:t>
      </w:r>
      <w:r w:rsidR="00CD399C" w:rsidRPr="00B10B71">
        <w:rPr>
          <w:rFonts w:ascii="Times New Roman" w:hAnsi="Times New Roman" w:cs="Times New Roman"/>
          <w:sz w:val="24"/>
          <w:szCs w:val="24"/>
        </w:rPr>
        <w:t>µ</w:t>
      </w:r>
      <w:r w:rsidRPr="00B10B71">
        <w:rPr>
          <w:rFonts w:ascii="Times New Roman" w:hAnsi="Times New Roman" w:cs="Times New Roman"/>
          <w:sz w:val="24"/>
          <w:szCs w:val="24"/>
        </w:rPr>
        <w:t>g/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maksimum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konsantrasyonlarına ulaşılmış olup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bül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sıvısı/plazma oranı yaklaşık 1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Kemik Dokusuna Dağılım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proksimal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distal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femurdaki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kortikal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süngerimsi dokuya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penetrasyon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oranları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0.1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3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 xml:space="preserve">e olmak üzere iyi şekilde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penetre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olur. 500 mg p.o.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ardından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spongios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proksimal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femurdaki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maksimum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konsantrasyonu uygulamadan 2 saat sonra yaklaşık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15.1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Serebro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Spinal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Sıvıya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Penetrasyon</w:t>
      </w:r>
      <w:proofErr w:type="spellEnd"/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serebro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sıvıya geçişi düşüktür.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Prostat dokusuna dağılım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Günde 3 kez oral 500 mg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uygulanmasından sonra prostat dokusundaki konsantrasyonu ortalama 2 saatten sonra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8.7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/g ve ortalama prostat/plazma konsantrasyonu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1.84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dür.</w:t>
      </w:r>
    </w:p>
    <w:p w:rsidR="00560D09" w:rsidRPr="00B10B71" w:rsidRDefault="00560D09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i/>
          <w:iCs/>
          <w:sz w:val="24"/>
          <w:szCs w:val="24"/>
        </w:rPr>
        <w:t>İdrardaki Konsantrasyonu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150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mg,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300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veya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500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oral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tek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dozdan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ortalama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idrar</w:t>
      </w:r>
      <w:r w:rsidR="00610943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konsantrasyonları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sırasıyla 44 mg/L, 91 mg/L ve 200 mg/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çok az düzeyde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olur,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metabolitleri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desmetil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</w:t>
      </w:r>
      <w:r w:rsidR="003E0DF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N-oksittir.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Metabolitler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 idrarda atılırlar ve dozun &lt;%5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ini oluştururlar.</w:t>
      </w:r>
      <w:r w:rsidR="003E0DFA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stereokimyasal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stabildir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ve izomerik dönüşüme uğramaz.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EC" w:rsidRPr="00B10B71" w:rsidRDefault="00561CEC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oral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verilmesini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takiben,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plazmadan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göreceli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olarak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yavaş</w:t>
      </w:r>
      <w:r w:rsidR="003E0DF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elimine olur (t</w:t>
      </w:r>
      <w:r w:rsidRPr="00B10B71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Pr="00B10B71">
        <w:rPr>
          <w:rFonts w:ascii="Times New Roman" w:hAnsi="Times New Roman" w:cs="Times New Roman"/>
          <w:sz w:val="24"/>
          <w:szCs w:val="24"/>
        </w:rPr>
        <w:t xml:space="preserve">: 6 - 8 saat).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Ekskresyonu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esas olarak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yoldandır (verilen dozun &gt;%85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i).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500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tek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dozu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takiben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ortalama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total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vücut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175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+/-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29.2</w:t>
      </w:r>
      <w:r w:rsidR="003E0DF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ml/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lastRenderedPageBreak/>
        <w:t>750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mg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tek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dozu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takiben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ortalama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total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vücut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143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+/-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29.1</w:t>
      </w:r>
      <w:r w:rsidR="003E0DFA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ml/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.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>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oral uygulanmasında temel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farklılık yoktur, bu oral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yolların birbirinin yerine geçebileceğini düşündürmektedir.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Doğrusallık/Doğrusal olmayan durum: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150-600 mg doz aralığında,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doğrusal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izler.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b/>
          <w:bCs/>
          <w:sz w:val="24"/>
          <w:szCs w:val="24"/>
        </w:rPr>
        <w:t>Hastalardaki karakteristik özellikler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Böbrek yetmezliği olan hastalar: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Böbrek yetmezliğinde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özellikleri etkilenir. Böbrek fonksiyonlarının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azalmasıyla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birlikte,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böbreklerden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eliminasyonu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klirensi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düşer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ve aşağıdaki tabloda gösterildiği gibi,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yarı ömrü uzar:</w:t>
      </w:r>
    </w:p>
    <w:tbl>
      <w:tblPr>
        <w:tblStyle w:val="TabloKlavuzu"/>
        <w:tblW w:w="0" w:type="auto"/>
        <w:tblInd w:w="392" w:type="dxa"/>
        <w:tblLook w:val="04A0"/>
      </w:tblPr>
      <w:tblGrid>
        <w:gridCol w:w="1911"/>
        <w:gridCol w:w="924"/>
        <w:gridCol w:w="1134"/>
        <w:gridCol w:w="992"/>
      </w:tblGrid>
      <w:tr w:rsidR="003E0DFA" w:rsidRPr="00B10B71" w:rsidTr="003B09A1">
        <w:tc>
          <w:tcPr>
            <w:tcW w:w="1911" w:type="dxa"/>
          </w:tcPr>
          <w:p w:rsidR="003E0DFA" w:rsidRPr="00B10B71" w:rsidRDefault="003E0DFA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Clcr</w:t>
            </w:r>
            <w:proofErr w:type="spell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[ml/</w:t>
            </w: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4" w:type="dxa"/>
          </w:tcPr>
          <w:p w:rsidR="003E0DFA" w:rsidRPr="00B10B71" w:rsidRDefault="003E0DFA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&lt; 20</w:t>
            </w:r>
          </w:p>
        </w:tc>
        <w:tc>
          <w:tcPr>
            <w:tcW w:w="1134" w:type="dxa"/>
          </w:tcPr>
          <w:p w:rsidR="003E0DFA" w:rsidRPr="00B10B71" w:rsidRDefault="003E0DFA" w:rsidP="00560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560D09" w:rsidRPr="00B10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992" w:type="dxa"/>
          </w:tcPr>
          <w:p w:rsidR="003E0DFA" w:rsidRPr="00B10B71" w:rsidRDefault="003E0DFA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50 -</w:t>
            </w:r>
            <w:r w:rsidR="00560D09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E0DFA" w:rsidRPr="00B10B71" w:rsidTr="003B09A1">
        <w:tc>
          <w:tcPr>
            <w:tcW w:w="1911" w:type="dxa"/>
          </w:tcPr>
          <w:p w:rsidR="003E0DFA" w:rsidRPr="00B10B71" w:rsidRDefault="003E0DFA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B10B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="003B09A1" w:rsidRPr="00B10B71">
              <w:rPr>
                <w:rFonts w:ascii="Times New Roman" w:hAnsi="Times New Roman" w:cs="Times New Roman"/>
                <w:sz w:val="24"/>
                <w:szCs w:val="24"/>
              </w:rPr>
              <w:t xml:space="preserve"> [ml/</w:t>
            </w:r>
            <w:proofErr w:type="spellStart"/>
            <w:r w:rsidR="003B09A1" w:rsidRPr="00B10B71"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r w:rsidR="003B09A1" w:rsidRPr="00B10B7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924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E0DFA" w:rsidRPr="00B10B71" w:rsidTr="003B09A1">
        <w:tc>
          <w:tcPr>
            <w:tcW w:w="1911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10B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1/2 </w:t>
            </w: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[saat]</w:t>
            </w:r>
          </w:p>
        </w:tc>
        <w:tc>
          <w:tcPr>
            <w:tcW w:w="924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E0DFA" w:rsidRPr="00B10B71" w:rsidRDefault="003B09A1" w:rsidP="003B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09" w:rsidRPr="00B10B71" w:rsidRDefault="00560D09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Yaşlı hastalar: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özellikleri,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klirensindeki</w:t>
      </w:r>
      <w:proofErr w:type="spellEnd"/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farklılıklarla</w:t>
      </w:r>
      <w:r w:rsidR="00746CA2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alakalı</w:t>
      </w:r>
      <w:r w:rsidR="003B09A1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olanlar dışında, yaşlılarla gençler arasında önemli değişiklikler göstermez.</w:t>
      </w:r>
    </w:p>
    <w:p w:rsidR="00561CEC" w:rsidRPr="00B10B71" w:rsidRDefault="00561CEC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Cinsiyet farklılıkları:</w:t>
      </w:r>
    </w:p>
    <w:p w:rsidR="009A5A15" w:rsidRPr="00B10B71" w:rsidRDefault="009A5A15" w:rsidP="009A5A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Kadın ve erkeklerde yapılan ayrı analizler neticesinde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özelliklerinde cinsiyetler arasında çok küçük 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marjinal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farklılıklar olduğu gösterilmiştir. Bu farkların klinik açıdan anlamlı olduğuna dair her hangi bir kanıt yoktur.</w:t>
      </w:r>
    </w:p>
    <w:p w:rsidR="009A5A15" w:rsidRPr="00B10B71" w:rsidRDefault="009A5A1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CEC" w:rsidRPr="00B10B71" w:rsidRDefault="00561CEC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Akut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toksisite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uygulanmasından sonra farelerde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elde edilen medyan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letal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doz (LD</w:t>
      </w:r>
      <w:r w:rsidRPr="00B10B71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B10B71">
        <w:rPr>
          <w:rFonts w:ascii="Times New Roman" w:hAnsi="Times New Roman" w:cs="Times New Roman"/>
          <w:sz w:val="24"/>
          <w:szCs w:val="24"/>
        </w:rPr>
        <w:t>) değerleri 250-400 mg/kg; köpeklerde LD</w:t>
      </w:r>
      <w:r w:rsidRPr="00B10B71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B10B71">
        <w:rPr>
          <w:rFonts w:ascii="Times New Roman" w:hAnsi="Times New Roman" w:cs="Times New Roman"/>
          <w:sz w:val="24"/>
          <w:szCs w:val="24"/>
        </w:rPr>
        <w:t xml:space="preserve"> yaklaşık 200 mg/kg olup bu dozu alan 2 hayvandan biri ölmüştür.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Tekrarlanan doz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toksisitesi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Dozlar, 1 ayda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20, 60, 180 mg/kg/gün ve maymunlarda 10, 25, 63 mg/kg/gün, 3 ay için köpeklerde 10, 30, 90 mg/kg/gün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dür.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Bu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çalışmalardaki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Yan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Etki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Gözlemlenmeyen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Düzeyler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NOELs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),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1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3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aydan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sonra sırasıyla 20 ve 30 mg/kg/gün olarak değerlendirilmiştir.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İdrardaki kristal iki çalışmada da 20 mg/kg/gün ve üzerinde görülmüştür. Yüksek dozlarda (1 ay içinde 180 mg/kg/gün ya da 3 ay ve yukarısı için 30 mg/kg/gün) yiyecek tüketiminde ve vücut ağırlığında biraz az</w:t>
      </w:r>
      <w:r w:rsidR="005506D3" w:rsidRPr="00B10B71">
        <w:rPr>
          <w:rFonts w:ascii="Times New Roman" w:hAnsi="Times New Roman" w:cs="Times New Roman"/>
          <w:sz w:val="24"/>
          <w:szCs w:val="24"/>
        </w:rPr>
        <w:t>alma görülmüştür.1 ay sonunda (</w:t>
      </w:r>
      <w:r w:rsidRPr="00B10B71">
        <w:rPr>
          <w:rFonts w:ascii="Times New Roman" w:hAnsi="Times New Roman" w:cs="Times New Roman"/>
          <w:sz w:val="24"/>
          <w:szCs w:val="24"/>
        </w:rPr>
        <w:t>3 ay için değil)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hematolojik olarak eritrositlerde ve lökositlerde düşme, lökositlerde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retikülositlerde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artma meydana gelmiştir.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NOELs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maymunlarda 63 mg/kg/gün olarak bulunmuş olup bu doz için yiyecek ve su tüketiminde azalma görülmüştür.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Reprodüktif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toksisite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360 mg/kg/gün gibi yüksek oral dozlarda veya 100 mg/kg/gün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 xml:space="preserve">e kadar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dozlarda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fertilite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reprodüktif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performans bozukluğuna neden olmamıştır.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810 mg/kg/gün gibi yüksek oral dozlarda veya 160 mg/kg/gün gibi yüksek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dozlarda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değildir. Tavşanlarda oral 50 mg/kg/gün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 xml:space="preserve">e kadar veya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25 mg/kg/gün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 xml:space="preserve">e kadar dozlarda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teratojenite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gözlemlenmemiştir.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Levofloksasinin</w:t>
      </w:r>
      <w:proofErr w:type="spellEnd"/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fertilite</w:t>
      </w:r>
      <w:proofErr w:type="spellEnd"/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üzerinde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bir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etkisi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olmamıştır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fötuslar</w:t>
      </w:r>
      <w:proofErr w:type="spellEnd"/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üzerindeki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tek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etkisi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toksisiteye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bağlı gecikmiş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matürasyon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Genotoksisite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, bakteriyel veya memeli hücrelerinde gen mutasyonlarını indüklememiş, ancak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100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/ml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ve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üzerindeki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dozlarda,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aktivasyonun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yokluğunda,</w:t>
      </w:r>
      <w:r w:rsidR="00B20820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B20820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="00B20820"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 xml:space="preserve">Çin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hamsteri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akciğer hücrelerinde kromozom aberasyonlarını indüklemiştir. </w:t>
      </w:r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İn </w:t>
      </w:r>
      <w:proofErr w:type="spellStart"/>
      <w:r w:rsidRPr="00B10B71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B10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testler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mikronükleus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kromatid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değişimi, zamansız DNA sentezi, dominant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letal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testler) herhangi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potansiyel göstermemiştir.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Fototoksik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potansiyel: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farelerde oral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dozlardan sonra, yalnızca çok yüksek dozlarda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fototoksik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aktiviteye sahip olduğunu göstermiştir.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,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fotomutajenisite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lastRenderedPageBreak/>
        <w:t xml:space="preserve">analizinde herhangi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potansiyel göstermemiştir ve bir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fotokarsinojenisite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analizinde tümör gelişimini azaltmıştır.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Karsinojenik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 potansiyel: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diyetle verilmesi ile iki yıllık bir çalışmada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karsinojenik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potansiyele ait gösterge görülmemiştir (0, 10, 30 ve 100 mg/kg/gün).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 xml:space="preserve">Eklemlere </w:t>
      </w:r>
      <w:proofErr w:type="spellStart"/>
      <w:r w:rsidRPr="00B10B71">
        <w:rPr>
          <w:rFonts w:ascii="Times New Roman" w:hAnsi="Times New Roman" w:cs="Times New Roman"/>
          <w:sz w:val="24"/>
          <w:szCs w:val="24"/>
          <w:u w:val="single"/>
        </w:rPr>
        <w:t>toksisite</w:t>
      </w:r>
      <w:proofErr w:type="spellEnd"/>
      <w:r w:rsidRPr="00B10B7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38D" w:rsidRPr="00B10B71" w:rsidRDefault="0010738D" w:rsidP="001073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florokinolonlarda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genellikle olduğu gibi,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levofloksasin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ratlarda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 köpeklerde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kartilaj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üzerinde etki göstermiştir (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büllöz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oluşum ve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kaviteler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). Bu bulgular genç hayvanlarda daha fazla dikkat çekmiştir.</w:t>
      </w:r>
    </w:p>
    <w:p w:rsidR="0010738D" w:rsidRPr="00B10B71" w:rsidRDefault="0010738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616E59" w:rsidRPr="00B10B71" w:rsidRDefault="003E6D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Sodyum klorür</w:t>
      </w:r>
    </w:p>
    <w:p w:rsidR="003E6D5D" w:rsidRPr="00B10B71" w:rsidRDefault="003E6D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Hidroklorik asit</w:t>
      </w:r>
    </w:p>
    <w:p w:rsidR="003E6D5D" w:rsidRPr="00B10B71" w:rsidRDefault="003E6D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Sodyum hidroksit</w:t>
      </w:r>
    </w:p>
    <w:p w:rsidR="003E6D5D" w:rsidRPr="00B10B71" w:rsidRDefault="003E6D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Enjeksiyonluk su</w:t>
      </w:r>
    </w:p>
    <w:p w:rsidR="003D515D" w:rsidRPr="00B10B71" w:rsidRDefault="003D51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616E59" w:rsidRPr="00B10B71" w:rsidRDefault="003B3E5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FLOXİLEVO</w:t>
      </w:r>
      <w:r w:rsidR="008E21EA" w:rsidRPr="00B10B71">
        <w:rPr>
          <w:rFonts w:ascii="Times New Roman" w:hAnsi="Times New Roman" w:cs="Times New Roman"/>
          <w:sz w:val="24"/>
          <w:szCs w:val="24"/>
        </w:rPr>
        <w:t xml:space="preserve"> iv</w:t>
      </w:r>
      <w:r w:rsidRPr="00B10B71">
        <w:rPr>
          <w:rFonts w:ascii="Times New Roman" w:hAnsi="Times New Roman" w:cs="Times New Roman"/>
          <w:sz w:val="24"/>
          <w:szCs w:val="24"/>
        </w:rPr>
        <w:t xml:space="preserve">, aşağıdaki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enfüzyon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solüsyonları ile uyumludur:</w:t>
      </w:r>
    </w:p>
    <w:p w:rsidR="003B3E5A" w:rsidRPr="00B10B71" w:rsidRDefault="003B3E5A" w:rsidP="003B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% 0.9 sodyum klorür çözeltisi</w:t>
      </w:r>
    </w:p>
    <w:p w:rsidR="003B3E5A" w:rsidRPr="00B10B71" w:rsidRDefault="003B3E5A" w:rsidP="003B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% 5 dekstroz çözeltisi</w:t>
      </w:r>
    </w:p>
    <w:p w:rsidR="003B3E5A" w:rsidRPr="00B10B71" w:rsidRDefault="003B3E5A" w:rsidP="003B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% 2.5 dekstroz,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Ringer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çözeltisi içinde</w:t>
      </w:r>
    </w:p>
    <w:p w:rsidR="003B3E5A" w:rsidRPr="00B10B71" w:rsidRDefault="003B3E5A" w:rsidP="003B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parenteral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beslenme için hazırlanmış kombinasyon çözeltileri (</w:t>
      </w:r>
      <w:proofErr w:type="gramStart"/>
      <w:r w:rsidRPr="00B10B71">
        <w:rPr>
          <w:rFonts w:ascii="Times New Roman" w:hAnsi="Times New Roman" w:cs="Times New Roman"/>
          <w:sz w:val="24"/>
          <w:szCs w:val="24"/>
        </w:rPr>
        <w:t>amino</w:t>
      </w:r>
      <w:proofErr w:type="gramEnd"/>
      <w:r w:rsidRPr="00B10B71">
        <w:rPr>
          <w:rFonts w:ascii="Times New Roman" w:hAnsi="Times New Roman" w:cs="Times New Roman"/>
          <w:sz w:val="24"/>
          <w:szCs w:val="24"/>
        </w:rPr>
        <w:t xml:space="preserve"> asitler, karbonhidratlar, elektrolitler)</w:t>
      </w:r>
    </w:p>
    <w:p w:rsidR="003B3E5A" w:rsidRPr="00B10B71" w:rsidRDefault="003B3E5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4B3" w:rsidRPr="00B10B71" w:rsidRDefault="00FD64B3" w:rsidP="00FD64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 xml:space="preserve">FLOXİLEVO iv,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heparin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veya alkali çözeltilerle (örn. sodyum hidrojen karbonat) karıştırılmamalıdır.</w:t>
      </w:r>
    </w:p>
    <w:p w:rsidR="00FD64B3" w:rsidRPr="00B10B71" w:rsidRDefault="00FD64B3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616E59" w:rsidRPr="00B10B71" w:rsidRDefault="003B3E5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24 ay</w:t>
      </w:r>
    </w:p>
    <w:p w:rsidR="003D515D" w:rsidRPr="00B10B71" w:rsidRDefault="003D515D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lastRenderedPageBreak/>
        <w:t>Saklamaya yönelik özel tedbirler</w:t>
      </w:r>
    </w:p>
    <w:p w:rsidR="003B3E5A" w:rsidRPr="00B10B71" w:rsidRDefault="003B3E5A" w:rsidP="003B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25°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C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altındaki oda sıcaklığında ışıktan koruyarak saklayınız.</w:t>
      </w:r>
    </w:p>
    <w:p w:rsidR="003B3E5A" w:rsidRPr="00B10B71" w:rsidRDefault="003B3E5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3B3E5A" w:rsidRPr="00B10B71" w:rsidRDefault="003B3E5A" w:rsidP="006D1A8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Flip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alüminyum emniyet kapsülü/mavi 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polipropilen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disk/teflon kaplı kauçuk tıpa/100</w:t>
      </w:r>
      <w:r w:rsidR="00FD64B3" w:rsidRPr="00B10B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10B71">
        <w:rPr>
          <w:rFonts w:ascii="Times New Roman" w:hAnsi="Times New Roman" w:cs="Times New Roman"/>
          <w:sz w:val="24"/>
          <w:szCs w:val="24"/>
        </w:rPr>
        <w:t>ml</w:t>
      </w:r>
      <w:r w:rsidR="00A66ABF" w:rsidRPr="00B10B71">
        <w:rPr>
          <w:rFonts w:ascii="Times New Roman" w:hAnsi="Times New Roman" w:cs="Times New Roman"/>
          <w:sz w:val="24"/>
          <w:szCs w:val="24"/>
        </w:rPr>
        <w:t>’</w:t>
      </w:r>
      <w:r w:rsidRPr="00B10B71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 xml:space="preserve"> renksiz cam penisilin şişesi</w:t>
      </w:r>
    </w:p>
    <w:p w:rsidR="003B3E5A" w:rsidRPr="00B10B71" w:rsidRDefault="003B3E5A" w:rsidP="003B3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Her karton kutu 1 şişe ve 1 polietilen askı içermektedir.</w:t>
      </w:r>
    </w:p>
    <w:p w:rsidR="003B3E5A" w:rsidRPr="00B10B71" w:rsidRDefault="003B3E5A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B10B71" w:rsidRDefault="00616E59" w:rsidP="00EB007B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6D1A85" w:rsidRPr="00B10B71" w:rsidRDefault="006D1A85" w:rsidP="006D1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Kullanılmamış olan ürünler ya da atık materyaller “Tıbbi Atıkların Kontrolü Yönetmeliği” ve “Ambalaj ve Ambalaj Atıklarının Kontrolü Yönetmelikleri”</w:t>
      </w:r>
      <w:r w:rsidR="00A66ABF" w:rsidRPr="00B10B71">
        <w:rPr>
          <w:rFonts w:ascii="Times New Roman" w:hAnsi="Times New Roman" w:cs="Times New Roman"/>
          <w:sz w:val="24"/>
          <w:szCs w:val="24"/>
        </w:rPr>
        <w:t>‘</w:t>
      </w:r>
      <w:r w:rsidRPr="00B10B71">
        <w:rPr>
          <w:rFonts w:ascii="Times New Roman" w:hAnsi="Times New Roman" w:cs="Times New Roman"/>
          <w:sz w:val="24"/>
          <w:szCs w:val="24"/>
        </w:rPr>
        <w:t>ne uygun olarak imha edilmelidir.</w:t>
      </w:r>
    </w:p>
    <w:p w:rsidR="006D1A85" w:rsidRPr="00B10B71" w:rsidRDefault="006D1A85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7E0657" w:rsidRPr="00B10B71" w:rsidRDefault="007E0657" w:rsidP="007E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Deva Holding A.Ş.</w:t>
      </w:r>
    </w:p>
    <w:p w:rsidR="007E0657" w:rsidRPr="00B10B71" w:rsidRDefault="007E0657" w:rsidP="007E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7E0657" w:rsidRPr="00B10B71" w:rsidRDefault="007E0657" w:rsidP="007E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34303 No:1 Küçükçekmece/İstanbul</w:t>
      </w:r>
    </w:p>
    <w:p w:rsidR="007E0657" w:rsidRPr="00B10B71" w:rsidRDefault="007E0657" w:rsidP="007E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Tel:</w:t>
      </w:r>
      <w:r w:rsidR="00FD64B3" w:rsidRPr="00B10B71">
        <w:rPr>
          <w:rFonts w:ascii="Times New Roman" w:hAnsi="Times New Roman" w:cs="Times New Roman"/>
          <w:sz w:val="24"/>
          <w:szCs w:val="24"/>
        </w:rPr>
        <w:t xml:space="preserve"> </w:t>
      </w:r>
      <w:r w:rsidRPr="00B10B71">
        <w:rPr>
          <w:rFonts w:ascii="Times New Roman" w:hAnsi="Times New Roman" w:cs="Times New Roman"/>
          <w:sz w:val="24"/>
          <w:szCs w:val="24"/>
        </w:rPr>
        <w:t>0212 264 64 60</w:t>
      </w:r>
    </w:p>
    <w:p w:rsidR="007E0657" w:rsidRPr="00B10B71" w:rsidRDefault="007E0657" w:rsidP="007E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B71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10B71">
        <w:rPr>
          <w:rFonts w:ascii="Times New Roman" w:hAnsi="Times New Roman" w:cs="Times New Roman"/>
          <w:sz w:val="24"/>
          <w:szCs w:val="24"/>
        </w:rPr>
        <w:t>: 0212 280 35 21</w:t>
      </w:r>
    </w:p>
    <w:p w:rsidR="007E0657" w:rsidRPr="00B10B71" w:rsidRDefault="007E065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7E0657" w:rsidRPr="00B10B71" w:rsidRDefault="007E0657" w:rsidP="007E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B71">
        <w:rPr>
          <w:rFonts w:ascii="Times New Roman" w:hAnsi="Times New Roman" w:cs="Times New Roman"/>
          <w:sz w:val="24"/>
          <w:szCs w:val="24"/>
        </w:rPr>
        <w:t>216/17</w:t>
      </w:r>
    </w:p>
    <w:p w:rsidR="007E0657" w:rsidRPr="00B10B71" w:rsidRDefault="007E065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B10B71" w:rsidRDefault="00C93104" w:rsidP="00EB007B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7E0657" w:rsidRPr="00B10B71" w:rsidRDefault="007E065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İlk ruhsat tarihi:</w:t>
      </w:r>
      <w:r w:rsidR="00FB65F5" w:rsidRPr="00B10B71">
        <w:rPr>
          <w:rFonts w:ascii="Times New Roman" w:hAnsi="Times New Roman" w:cs="Times New Roman"/>
          <w:sz w:val="24"/>
          <w:szCs w:val="24"/>
        </w:rPr>
        <w:t xml:space="preserve"> 09.06.2008</w:t>
      </w:r>
    </w:p>
    <w:p w:rsidR="007E0657" w:rsidRPr="00B10B71" w:rsidRDefault="007E065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B71">
        <w:rPr>
          <w:rFonts w:ascii="Times New Roman" w:hAnsi="Times New Roman" w:cs="Times New Roman"/>
          <w:sz w:val="24"/>
          <w:szCs w:val="24"/>
          <w:u w:val="single"/>
        </w:rPr>
        <w:t>Ruhsat yenileme tarihi:</w:t>
      </w:r>
    </w:p>
    <w:p w:rsidR="007E0657" w:rsidRPr="00B10B71" w:rsidRDefault="007E0657" w:rsidP="00EB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E59" w:rsidRPr="00B10B71" w:rsidRDefault="00C93104" w:rsidP="00616E59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71">
        <w:rPr>
          <w:rFonts w:ascii="Times New Roman" w:hAnsi="Times New Roman" w:cs="Times New Roman"/>
          <w:b/>
          <w:sz w:val="24"/>
          <w:szCs w:val="24"/>
        </w:rPr>
        <w:t>KÜB</w:t>
      </w:r>
      <w:r w:rsidR="00A66ABF" w:rsidRPr="00B10B71">
        <w:rPr>
          <w:rFonts w:ascii="Times New Roman" w:hAnsi="Times New Roman" w:cs="Times New Roman"/>
          <w:b/>
          <w:sz w:val="24"/>
          <w:szCs w:val="24"/>
        </w:rPr>
        <w:t>’</w:t>
      </w:r>
      <w:r w:rsidRPr="00B10B71">
        <w:rPr>
          <w:rFonts w:ascii="Times New Roman" w:hAnsi="Times New Roman" w:cs="Times New Roman"/>
          <w:b/>
          <w:sz w:val="24"/>
          <w:szCs w:val="24"/>
        </w:rPr>
        <w:t>ÜN YENİLENME TARİHİ</w:t>
      </w:r>
    </w:p>
    <w:sectPr w:rsidR="00616E59" w:rsidRPr="00B10B71" w:rsidSect="002D3C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colakoglu" w:date="2013-12-25T13:23:00Z" w:initials="g">
    <w:p w:rsidR="0017039F" w:rsidRDefault="0017039F">
      <w:pPr>
        <w:pStyle w:val="AklamaMetni"/>
      </w:pPr>
      <w:r>
        <w:rPr>
          <w:rStyle w:val="AklamaBavurusu"/>
        </w:rPr>
        <w:annotationRef/>
      </w:r>
      <w:r>
        <w:t xml:space="preserve">25.12.2013 tarihinde bakanlıktan Ayşe hanıma atılan mailde burası düzeltilmiştir. </w:t>
      </w:r>
    </w:p>
    <w:p w:rsidR="0017039F" w:rsidRDefault="0017039F">
      <w:pPr>
        <w:pStyle w:val="AklamaMetni"/>
      </w:pPr>
      <w:r>
        <w:t>Önceki hali: 10-14 gün</w:t>
      </w:r>
    </w:p>
    <w:p w:rsidR="0017039F" w:rsidRDefault="0017039F">
      <w:pPr>
        <w:pStyle w:val="AklamaMetni"/>
      </w:pPr>
      <w:r>
        <w:t xml:space="preserve">KT ile uyumlu hale getirilmiştir.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E0" w:rsidRDefault="001911E0" w:rsidP="00F33D2C">
      <w:pPr>
        <w:spacing w:after="0" w:line="240" w:lineRule="auto"/>
      </w:pPr>
      <w:r>
        <w:separator/>
      </w:r>
    </w:p>
  </w:endnote>
  <w:endnote w:type="continuationSeparator" w:id="0">
    <w:p w:rsidR="001911E0" w:rsidRDefault="001911E0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298014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861459903"/>
          <w:docPartObj>
            <w:docPartGallery w:val="Page Numbers (Top of Page)"/>
            <w:docPartUnique/>
          </w:docPartObj>
        </w:sdtPr>
        <w:sdtContent>
          <w:p w:rsidR="00BF7649" w:rsidRPr="002C4AF9" w:rsidRDefault="0049029E" w:rsidP="002C4AF9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A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7649" w:rsidRPr="002C4AF9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2C4A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10B71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Pr="002C4A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F7649" w:rsidRPr="002C4AF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C4A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7649" w:rsidRPr="002C4AF9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2C4A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10B71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  <w:r w:rsidRPr="002C4A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E0" w:rsidRDefault="001911E0" w:rsidP="00F33D2C">
      <w:pPr>
        <w:spacing w:after="0" w:line="240" w:lineRule="auto"/>
      </w:pPr>
      <w:r>
        <w:separator/>
      </w:r>
    </w:p>
  </w:footnote>
  <w:footnote w:type="continuationSeparator" w:id="0">
    <w:p w:rsidR="001911E0" w:rsidRDefault="001911E0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2C9"/>
    <w:multiLevelType w:val="hybridMultilevel"/>
    <w:tmpl w:val="CA06C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4760"/>
    <w:multiLevelType w:val="hybridMultilevel"/>
    <w:tmpl w:val="D9CCFD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D7F54"/>
    <w:multiLevelType w:val="hybridMultilevel"/>
    <w:tmpl w:val="0D586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0E7B"/>
    <w:multiLevelType w:val="hybridMultilevel"/>
    <w:tmpl w:val="94AE5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80DAC"/>
    <w:multiLevelType w:val="hybridMultilevel"/>
    <w:tmpl w:val="BD563DA4"/>
    <w:lvl w:ilvl="0" w:tplc="1A86F7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6423698"/>
    <w:multiLevelType w:val="hybridMultilevel"/>
    <w:tmpl w:val="293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863A5"/>
    <w:multiLevelType w:val="hybridMultilevel"/>
    <w:tmpl w:val="D4C0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2002E"/>
    <w:multiLevelType w:val="hybridMultilevel"/>
    <w:tmpl w:val="3CAC1C9C"/>
    <w:lvl w:ilvl="0" w:tplc="AA6A1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A4359"/>
    <w:multiLevelType w:val="hybridMultilevel"/>
    <w:tmpl w:val="CB422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04E75"/>
    <w:rsid w:val="000117EA"/>
    <w:rsid w:val="0001219C"/>
    <w:rsid w:val="00013851"/>
    <w:rsid w:val="00022D24"/>
    <w:rsid w:val="00043C1F"/>
    <w:rsid w:val="00060A22"/>
    <w:rsid w:val="00082E9A"/>
    <w:rsid w:val="000A0241"/>
    <w:rsid w:val="000A793B"/>
    <w:rsid w:val="000C79E3"/>
    <w:rsid w:val="00102AF1"/>
    <w:rsid w:val="0010738D"/>
    <w:rsid w:val="00120563"/>
    <w:rsid w:val="00126331"/>
    <w:rsid w:val="0012773B"/>
    <w:rsid w:val="00131811"/>
    <w:rsid w:val="00141895"/>
    <w:rsid w:val="00142BD3"/>
    <w:rsid w:val="0017039F"/>
    <w:rsid w:val="001911E0"/>
    <w:rsid w:val="001B4496"/>
    <w:rsid w:val="002061FF"/>
    <w:rsid w:val="00211C28"/>
    <w:rsid w:val="00254729"/>
    <w:rsid w:val="002665D1"/>
    <w:rsid w:val="00291CEE"/>
    <w:rsid w:val="00291DEF"/>
    <w:rsid w:val="002B097B"/>
    <w:rsid w:val="002B507D"/>
    <w:rsid w:val="002C4AF9"/>
    <w:rsid w:val="002D3C87"/>
    <w:rsid w:val="0031448B"/>
    <w:rsid w:val="003B09A1"/>
    <w:rsid w:val="003B3E5A"/>
    <w:rsid w:val="003D515D"/>
    <w:rsid w:val="003E0DFA"/>
    <w:rsid w:val="003E6D5D"/>
    <w:rsid w:val="003E7A0F"/>
    <w:rsid w:val="0042180C"/>
    <w:rsid w:val="0049029E"/>
    <w:rsid w:val="00490AB1"/>
    <w:rsid w:val="00516DBD"/>
    <w:rsid w:val="005506D3"/>
    <w:rsid w:val="005510EA"/>
    <w:rsid w:val="00560D09"/>
    <w:rsid w:val="00561CEC"/>
    <w:rsid w:val="005712BB"/>
    <w:rsid w:val="005A6E90"/>
    <w:rsid w:val="005B0817"/>
    <w:rsid w:val="005F5A84"/>
    <w:rsid w:val="0061081F"/>
    <w:rsid w:val="00610943"/>
    <w:rsid w:val="00616E59"/>
    <w:rsid w:val="006312DD"/>
    <w:rsid w:val="006336BE"/>
    <w:rsid w:val="006C2852"/>
    <w:rsid w:val="006D1A85"/>
    <w:rsid w:val="006E2F71"/>
    <w:rsid w:val="006E5615"/>
    <w:rsid w:val="00746CA2"/>
    <w:rsid w:val="00765214"/>
    <w:rsid w:val="00780283"/>
    <w:rsid w:val="00790707"/>
    <w:rsid w:val="007E0657"/>
    <w:rsid w:val="008017F8"/>
    <w:rsid w:val="00810801"/>
    <w:rsid w:val="00815E72"/>
    <w:rsid w:val="008412BA"/>
    <w:rsid w:val="00853234"/>
    <w:rsid w:val="0086436F"/>
    <w:rsid w:val="008752FC"/>
    <w:rsid w:val="008A6B71"/>
    <w:rsid w:val="008D7E2C"/>
    <w:rsid w:val="008E21EA"/>
    <w:rsid w:val="00901A70"/>
    <w:rsid w:val="009142A5"/>
    <w:rsid w:val="0095124E"/>
    <w:rsid w:val="009931A4"/>
    <w:rsid w:val="009A5A15"/>
    <w:rsid w:val="009E5977"/>
    <w:rsid w:val="00A30767"/>
    <w:rsid w:val="00A63A4A"/>
    <w:rsid w:val="00A66ABF"/>
    <w:rsid w:val="00A66BE4"/>
    <w:rsid w:val="00A75CB4"/>
    <w:rsid w:val="00A90702"/>
    <w:rsid w:val="00AB3AFB"/>
    <w:rsid w:val="00AD06BB"/>
    <w:rsid w:val="00AE2DBC"/>
    <w:rsid w:val="00AF4DA0"/>
    <w:rsid w:val="00B03A44"/>
    <w:rsid w:val="00B10B71"/>
    <w:rsid w:val="00B14493"/>
    <w:rsid w:val="00B20820"/>
    <w:rsid w:val="00B3119F"/>
    <w:rsid w:val="00B52B7D"/>
    <w:rsid w:val="00B76DA4"/>
    <w:rsid w:val="00BB49DA"/>
    <w:rsid w:val="00BB66B3"/>
    <w:rsid w:val="00BE63C3"/>
    <w:rsid w:val="00BE6FEB"/>
    <w:rsid w:val="00BF3EA3"/>
    <w:rsid w:val="00BF7649"/>
    <w:rsid w:val="00C139CF"/>
    <w:rsid w:val="00C33F9B"/>
    <w:rsid w:val="00C343CD"/>
    <w:rsid w:val="00C80366"/>
    <w:rsid w:val="00C8108A"/>
    <w:rsid w:val="00C90693"/>
    <w:rsid w:val="00C93104"/>
    <w:rsid w:val="00CA1930"/>
    <w:rsid w:val="00CD399C"/>
    <w:rsid w:val="00CE6BBD"/>
    <w:rsid w:val="00D14C44"/>
    <w:rsid w:val="00DA402A"/>
    <w:rsid w:val="00DD49E4"/>
    <w:rsid w:val="00DE4E53"/>
    <w:rsid w:val="00DE7F2D"/>
    <w:rsid w:val="00DF6C0A"/>
    <w:rsid w:val="00E207C3"/>
    <w:rsid w:val="00E53756"/>
    <w:rsid w:val="00E8584E"/>
    <w:rsid w:val="00E94D61"/>
    <w:rsid w:val="00E9677B"/>
    <w:rsid w:val="00EB007B"/>
    <w:rsid w:val="00ED220F"/>
    <w:rsid w:val="00EE07F4"/>
    <w:rsid w:val="00EF71E0"/>
    <w:rsid w:val="00F0182A"/>
    <w:rsid w:val="00F33D2C"/>
    <w:rsid w:val="00F41214"/>
    <w:rsid w:val="00F75917"/>
    <w:rsid w:val="00F94029"/>
    <w:rsid w:val="00FB65F5"/>
    <w:rsid w:val="00FB73B3"/>
    <w:rsid w:val="00FB7FA3"/>
    <w:rsid w:val="00FD33F2"/>
    <w:rsid w:val="00FD58F7"/>
    <w:rsid w:val="00F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  <w:style w:type="table" w:styleId="TabloKlavuzu">
    <w:name w:val="Table Grid"/>
    <w:basedOn w:val="NormalTablo"/>
    <w:uiPriority w:val="59"/>
    <w:rsid w:val="003E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703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03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03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03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039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5086-AE2B-43CC-8606-CD8F80A8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38385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esecgel</cp:lastModifiedBy>
  <cp:revision>3</cp:revision>
  <cp:lastPrinted>2014-08-08T08:34:00Z</cp:lastPrinted>
  <dcterms:created xsi:type="dcterms:W3CDTF">2014-08-08T08:34:00Z</dcterms:created>
  <dcterms:modified xsi:type="dcterms:W3CDTF">2014-08-08T08:37:00Z</dcterms:modified>
</cp:coreProperties>
</file>