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1B" w:rsidRPr="001156AA" w:rsidRDefault="00B8431B" w:rsidP="00B843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KISA ÜRÜN BİLGİSİ</w:t>
      </w:r>
    </w:p>
    <w:p w:rsidR="00B8431B" w:rsidRPr="001156AA" w:rsidRDefault="00B8431B" w:rsidP="00B843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B8431B" w:rsidRPr="001156AA" w:rsidRDefault="00EE03B4" w:rsidP="00B843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1.</w:t>
      </w: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ab/>
      </w:r>
      <w:r w:rsidR="00B8431B"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BEŞERİ TIBBİ ÜRÜNÜN ADI</w:t>
      </w:r>
    </w:p>
    <w:p w:rsidR="00666E19" w:rsidRPr="001156AA" w:rsidRDefault="00555A81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SEFTECH</w:t>
      </w:r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200 mg film tablet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2.</w:t>
      </w:r>
      <w:r w:rsidR="00EE03B4"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ab/>
      </w: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KALİTATİF VE KANTİTATİF BİLEŞİM 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Etkin madde: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Sefpodoksim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proksetil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    260</w:t>
      </w:r>
      <w:proofErr w:type="gram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,88 mg (200 mg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sefpodoksime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eşdeğer)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Yardımcı madde(</w:t>
      </w:r>
      <w:proofErr w:type="spellStart"/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ler</w:t>
      </w:r>
      <w:proofErr w:type="spellEnd"/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):</w:t>
      </w:r>
    </w:p>
    <w:p w:rsidR="00E76197" w:rsidRPr="001156AA" w:rsidRDefault="00E76197" w:rsidP="00E761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Laktoz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monohidrat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     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ab/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ab/>
      </w:r>
      <w:r w:rsidR="005170EB" w:rsidRPr="001156AA">
        <w:rPr>
          <w:rFonts w:ascii="Times New Roman" w:eastAsia="TimesNewRoman,Bold" w:hAnsi="Times New Roman" w:cs="Times New Roman"/>
          <w:bCs/>
          <w:sz w:val="24"/>
          <w:szCs w:val="24"/>
        </w:rPr>
        <w:tab/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35,12 mg </w:t>
      </w:r>
    </w:p>
    <w:p w:rsidR="00E76197" w:rsidRPr="001156AA" w:rsidRDefault="00E76197" w:rsidP="00E761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Sodyum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lauril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sülfat      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ab/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ab/>
      </w:r>
      <w:r w:rsidR="005170EB" w:rsidRPr="001156AA">
        <w:rPr>
          <w:rFonts w:ascii="Times New Roman" w:eastAsia="TimesNewRoman,Bold" w:hAnsi="Times New Roman" w:cs="Times New Roman"/>
          <w:bCs/>
          <w:sz w:val="24"/>
          <w:szCs w:val="24"/>
        </w:rPr>
        <w:tab/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9,00 mg </w:t>
      </w:r>
    </w:p>
    <w:p w:rsidR="00E76197" w:rsidRPr="001156AA" w:rsidRDefault="00E76197" w:rsidP="00E761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Çapraz bağlı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karboksimetil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selüloz</w:t>
      </w:r>
      <w:r w:rsidR="005170EB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gramStart"/>
      <w:r w:rsidR="005170EB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sodyum  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30</w:t>
      </w:r>
      <w:proofErr w:type="gram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,00 mg</w:t>
      </w:r>
    </w:p>
    <w:p w:rsidR="00E76197" w:rsidRPr="001156AA" w:rsidRDefault="00E76197" w:rsidP="00E761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Yardımcı maddeler için </w:t>
      </w:r>
      <w:proofErr w:type="gram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6.1'e</w:t>
      </w:r>
      <w:proofErr w:type="gram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bakınız.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3.</w:t>
      </w: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ab/>
        <w:t>FARMASÖTİK FORM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Film tablet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Beyaz-beyazımsı,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oblong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, film tablet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4.</w:t>
      </w: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ab/>
        <w:t>KLİNİK ÖZELLİKLER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4.1</w:t>
      </w:r>
      <w:r w:rsidR="00545921"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.</w:t>
      </w: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ab/>
      </w:r>
      <w:proofErr w:type="spellStart"/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Terapötik</w:t>
      </w:r>
      <w:proofErr w:type="spellEnd"/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endikasyonlar</w:t>
      </w:r>
      <w:proofErr w:type="spellEnd"/>
    </w:p>
    <w:p w:rsidR="00666E19" w:rsidRPr="001156AA" w:rsidRDefault="00555A81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SEFTECH</w:t>
      </w:r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duyarlı mikroorganizmaların neden olduğu özellikle aşağıdaki </w:t>
      </w:r>
      <w:proofErr w:type="gramStart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>enfeksiyonla</w:t>
      </w:r>
      <w:r w:rsidR="00C9531E" w:rsidRPr="001156AA">
        <w:rPr>
          <w:rFonts w:ascii="Times New Roman" w:eastAsia="TimesNewRoman,Bold" w:hAnsi="Times New Roman" w:cs="Times New Roman"/>
          <w:bCs/>
          <w:sz w:val="24"/>
          <w:szCs w:val="24"/>
        </w:rPr>
        <w:t>rı</w:t>
      </w:r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>n</w:t>
      </w:r>
      <w:proofErr w:type="gramEnd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tedavisinde kullanılır.</w:t>
      </w:r>
    </w:p>
    <w:p w:rsidR="00666E19" w:rsidRPr="001156AA" w:rsidRDefault="00666E19" w:rsidP="00666E19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Üst solunum yolu </w:t>
      </w:r>
      <w:proofErr w:type="gram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enfeksiyonları</w:t>
      </w:r>
      <w:proofErr w:type="gram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: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-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Tonsillit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, farenjit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-Akut sinüzit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-Akut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otitis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media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(sadece çocuklarda)</w:t>
      </w:r>
    </w:p>
    <w:p w:rsidR="00666E19" w:rsidRPr="001156AA" w:rsidRDefault="00666E19" w:rsidP="00666E19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Alt solunum yolu </w:t>
      </w:r>
      <w:proofErr w:type="gram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enfeksiyonları</w:t>
      </w:r>
      <w:proofErr w:type="gram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: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-Akut bronşit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-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Pnömoni</w:t>
      </w:r>
      <w:proofErr w:type="spellEnd"/>
    </w:p>
    <w:p w:rsidR="00666E19" w:rsidRPr="001156AA" w:rsidRDefault="00666E19" w:rsidP="00666E19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Kronik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obstrüktif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akciğer hastalığının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süperinfeksiyonları</w:t>
      </w:r>
      <w:proofErr w:type="spellEnd"/>
    </w:p>
    <w:p w:rsidR="00666E19" w:rsidRPr="001156AA" w:rsidRDefault="00666E19" w:rsidP="00666E19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Komplike olmayan alt ve üst idrar yolla</w:t>
      </w:r>
      <w:r w:rsidR="000F138D" w:rsidRPr="001156AA">
        <w:rPr>
          <w:rFonts w:ascii="Times New Roman" w:eastAsia="TimesNewRoman,Bold" w:hAnsi="Times New Roman" w:cs="Times New Roman"/>
          <w:bCs/>
          <w:sz w:val="24"/>
          <w:szCs w:val="24"/>
        </w:rPr>
        <w:t>rı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gram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enfeksiyonları</w:t>
      </w:r>
      <w:proofErr w:type="gramEnd"/>
    </w:p>
    <w:p w:rsidR="00666E19" w:rsidRPr="001156AA" w:rsidRDefault="00666E19" w:rsidP="00666E19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Komplike olmayan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gonokokal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="00920BC9" w:rsidRPr="001156AA">
        <w:rPr>
          <w:rFonts w:ascii="Times New Roman" w:eastAsia="TimesNewRoman,Bold" w:hAnsi="Times New Roman" w:cs="Times New Roman"/>
          <w:bCs/>
          <w:sz w:val="24"/>
          <w:szCs w:val="24"/>
        </w:rPr>
        <w:t>üretrit</w:t>
      </w:r>
      <w:proofErr w:type="spellEnd"/>
    </w:p>
    <w:p w:rsidR="00666E19" w:rsidRPr="001156AA" w:rsidRDefault="00666E19" w:rsidP="00666E19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Cilt ve yumuşak doku </w:t>
      </w:r>
      <w:proofErr w:type="gram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enfeksiyonları</w:t>
      </w:r>
      <w:proofErr w:type="gramEnd"/>
    </w:p>
    <w:p w:rsidR="00920BC9" w:rsidRPr="001156AA" w:rsidRDefault="00920BC9" w:rsidP="00920BC9">
      <w:pPr>
        <w:pStyle w:val="ListeParagra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4.2</w:t>
      </w:r>
      <w:r w:rsidR="00545921"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.</w:t>
      </w: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ab/>
      </w:r>
      <w:proofErr w:type="spellStart"/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Pozoloji</w:t>
      </w:r>
      <w:proofErr w:type="spellEnd"/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ve uygulama şekli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proofErr w:type="spellStart"/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Pozoloji</w:t>
      </w:r>
      <w:proofErr w:type="spellEnd"/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/uygulama sıklığı ve süresi:</w:t>
      </w:r>
    </w:p>
    <w:p w:rsidR="00666E19" w:rsidRPr="001156AA" w:rsidRDefault="00555A81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SEFTECH</w:t>
      </w:r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için önerilen dozaj aşağıdaki tabloda verilmiştir:</w:t>
      </w:r>
    </w:p>
    <w:tbl>
      <w:tblPr>
        <w:tblStyle w:val="TabloKlavuzu"/>
        <w:tblW w:w="8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559"/>
        <w:gridCol w:w="2464"/>
      </w:tblGrid>
      <w:tr w:rsidR="00666E19" w:rsidRPr="001156AA" w:rsidTr="00456A9B">
        <w:trPr>
          <w:trHeight w:val="410"/>
        </w:trPr>
        <w:tc>
          <w:tcPr>
            <w:tcW w:w="4786" w:type="dxa"/>
          </w:tcPr>
          <w:p w:rsidR="00666E19" w:rsidRPr="001156AA" w:rsidRDefault="00666E19" w:rsidP="00666E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156AA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Endikasyon</w:t>
            </w:r>
            <w:proofErr w:type="spellEnd"/>
          </w:p>
        </w:tc>
        <w:tc>
          <w:tcPr>
            <w:tcW w:w="1559" w:type="dxa"/>
          </w:tcPr>
          <w:p w:rsidR="00666E19" w:rsidRPr="001156AA" w:rsidRDefault="00666E19" w:rsidP="00666E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1156AA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Günlük doz</w:t>
            </w:r>
          </w:p>
        </w:tc>
        <w:tc>
          <w:tcPr>
            <w:tcW w:w="2464" w:type="dxa"/>
          </w:tcPr>
          <w:p w:rsidR="00666E19" w:rsidRPr="001156AA" w:rsidRDefault="00666E19" w:rsidP="00666E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1156AA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Doz sıklığı</w:t>
            </w:r>
          </w:p>
        </w:tc>
      </w:tr>
      <w:tr w:rsidR="00666E19" w:rsidRPr="001156AA" w:rsidTr="00456A9B">
        <w:trPr>
          <w:trHeight w:val="422"/>
        </w:trPr>
        <w:tc>
          <w:tcPr>
            <w:tcW w:w="4786" w:type="dxa"/>
          </w:tcPr>
          <w:p w:rsidR="00666E19" w:rsidRPr="001156AA" w:rsidRDefault="00666E19" w:rsidP="00666E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1156AA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Üst solunum yolu </w:t>
            </w:r>
            <w:proofErr w:type="gramStart"/>
            <w:r w:rsidRPr="001156AA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enfeksiyonları</w:t>
            </w:r>
            <w:proofErr w:type="gramEnd"/>
          </w:p>
        </w:tc>
        <w:tc>
          <w:tcPr>
            <w:tcW w:w="1559" w:type="dxa"/>
          </w:tcPr>
          <w:p w:rsidR="00666E19" w:rsidRPr="001156AA" w:rsidRDefault="00666E19" w:rsidP="00666E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4" w:type="dxa"/>
          </w:tcPr>
          <w:p w:rsidR="00666E19" w:rsidRPr="001156AA" w:rsidRDefault="00666E19" w:rsidP="00666E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</w:p>
        </w:tc>
      </w:tr>
      <w:tr w:rsidR="00666E19" w:rsidRPr="001156AA" w:rsidTr="00456A9B">
        <w:trPr>
          <w:trHeight w:val="410"/>
        </w:trPr>
        <w:tc>
          <w:tcPr>
            <w:tcW w:w="4786" w:type="dxa"/>
          </w:tcPr>
          <w:p w:rsidR="00666E19" w:rsidRPr="001156AA" w:rsidRDefault="00666E19" w:rsidP="00666E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proofErr w:type="spellStart"/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Tonsillit</w:t>
            </w:r>
            <w:proofErr w:type="spellEnd"/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, farenjit</w:t>
            </w:r>
          </w:p>
        </w:tc>
        <w:tc>
          <w:tcPr>
            <w:tcW w:w="1559" w:type="dxa"/>
          </w:tcPr>
          <w:p w:rsidR="00666E19" w:rsidRPr="001156AA" w:rsidRDefault="00666E19" w:rsidP="00666E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200 mg</w:t>
            </w:r>
          </w:p>
        </w:tc>
        <w:tc>
          <w:tcPr>
            <w:tcW w:w="2464" w:type="dxa"/>
          </w:tcPr>
          <w:p w:rsidR="00666E19" w:rsidRPr="001156AA" w:rsidRDefault="00666E19" w:rsidP="00666E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12 saatte bir 100 mg</w:t>
            </w:r>
          </w:p>
        </w:tc>
      </w:tr>
      <w:tr w:rsidR="00666E19" w:rsidRPr="001156AA" w:rsidTr="00456A9B">
        <w:trPr>
          <w:trHeight w:val="410"/>
        </w:trPr>
        <w:tc>
          <w:tcPr>
            <w:tcW w:w="4786" w:type="dxa"/>
          </w:tcPr>
          <w:p w:rsidR="00666E19" w:rsidRPr="001156AA" w:rsidRDefault="00666E19" w:rsidP="00666E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Akut sinüzit</w:t>
            </w:r>
          </w:p>
        </w:tc>
        <w:tc>
          <w:tcPr>
            <w:tcW w:w="1559" w:type="dxa"/>
          </w:tcPr>
          <w:p w:rsidR="00666E19" w:rsidRPr="001156AA" w:rsidRDefault="00666E19" w:rsidP="00666E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400 mg</w:t>
            </w:r>
          </w:p>
        </w:tc>
        <w:tc>
          <w:tcPr>
            <w:tcW w:w="2464" w:type="dxa"/>
          </w:tcPr>
          <w:p w:rsidR="00666E19" w:rsidRPr="001156AA" w:rsidRDefault="00666E19" w:rsidP="00666E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12 saatte bir 200 mg</w:t>
            </w:r>
          </w:p>
        </w:tc>
      </w:tr>
      <w:tr w:rsidR="00666E19" w:rsidRPr="001156AA" w:rsidTr="00456A9B">
        <w:trPr>
          <w:trHeight w:val="410"/>
        </w:trPr>
        <w:tc>
          <w:tcPr>
            <w:tcW w:w="4786" w:type="dxa"/>
          </w:tcPr>
          <w:p w:rsidR="00666E19" w:rsidRPr="001156AA" w:rsidRDefault="00666E19" w:rsidP="00666E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1156AA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Alt solunum yolu </w:t>
            </w:r>
            <w:proofErr w:type="gramStart"/>
            <w:r w:rsidRPr="001156AA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enfeksiyonları</w:t>
            </w:r>
            <w:proofErr w:type="gramEnd"/>
          </w:p>
        </w:tc>
        <w:tc>
          <w:tcPr>
            <w:tcW w:w="1559" w:type="dxa"/>
          </w:tcPr>
          <w:p w:rsidR="00666E19" w:rsidRPr="001156AA" w:rsidRDefault="00666E19" w:rsidP="00666E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4" w:type="dxa"/>
          </w:tcPr>
          <w:p w:rsidR="00666E19" w:rsidRPr="001156AA" w:rsidRDefault="00666E19" w:rsidP="00666E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</w:p>
        </w:tc>
      </w:tr>
      <w:tr w:rsidR="00456A9B" w:rsidRPr="001156AA" w:rsidTr="00456A9B">
        <w:trPr>
          <w:trHeight w:val="275"/>
        </w:trPr>
        <w:tc>
          <w:tcPr>
            <w:tcW w:w="4786" w:type="dxa"/>
          </w:tcPr>
          <w:p w:rsidR="00456A9B" w:rsidRPr="001156AA" w:rsidRDefault="00456A9B" w:rsidP="00666E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Akut bronşit*</w:t>
            </w:r>
          </w:p>
        </w:tc>
        <w:tc>
          <w:tcPr>
            <w:tcW w:w="1559" w:type="dxa"/>
          </w:tcPr>
          <w:p w:rsidR="00456A9B" w:rsidRPr="001156AA" w:rsidRDefault="00456A9B" w:rsidP="003A07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200 mg</w:t>
            </w:r>
          </w:p>
        </w:tc>
        <w:tc>
          <w:tcPr>
            <w:tcW w:w="2464" w:type="dxa"/>
          </w:tcPr>
          <w:p w:rsidR="00456A9B" w:rsidRPr="001156AA" w:rsidRDefault="00456A9B" w:rsidP="003A07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12 saatte bir 100 mg</w:t>
            </w:r>
          </w:p>
        </w:tc>
      </w:tr>
      <w:tr w:rsidR="00456A9B" w:rsidRPr="001156AA" w:rsidTr="00456A9B">
        <w:trPr>
          <w:trHeight w:val="425"/>
        </w:trPr>
        <w:tc>
          <w:tcPr>
            <w:tcW w:w="4786" w:type="dxa"/>
          </w:tcPr>
          <w:p w:rsidR="00456A9B" w:rsidRPr="001156AA" w:rsidRDefault="00456A9B" w:rsidP="00666E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Bakteriyel </w:t>
            </w:r>
            <w:proofErr w:type="spellStart"/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pnömoni</w:t>
            </w:r>
            <w:proofErr w:type="spellEnd"/>
          </w:p>
        </w:tc>
        <w:tc>
          <w:tcPr>
            <w:tcW w:w="1559" w:type="dxa"/>
          </w:tcPr>
          <w:p w:rsidR="00456A9B" w:rsidRPr="001156AA" w:rsidRDefault="00456A9B" w:rsidP="003A07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400 mg</w:t>
            </w:r>
          </w:p>
        </w:tc>
        <w:tc>
          <w:tcPr>
            <w:tcW w:w="2464" w:type="dxa"/>
          </w:tcPr>
          <w:p w:rsidR="00456A9B" w:rsidRPr="001156AA" w:rsidRDefault="00456A9B" w:rsidP="003A07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12 saatte bir 200 mg</w:t>
            </w:r>
          </w:p>
        </w:tc>
      </w:tr>
      <w:tr w:rsidR="00666E19" w:rsidRPr="001156AA" w:rsidTr="00456A9B">
        <w:trPr>
          <w:trHeight w:val="425"/>
        </w:trPr>
        <w:tc>
          <w:tcPr>
            <w:tcW w:w="4786" w:type="dxa"/>
          </w:tcPr>
          <w:p w:rsidR="000F138D" w:rsidRPr="001156AA" w:rsidRDefault="00666E19" w:rsidP="000F13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Kronik </w:t>
            </w:r>
            <w:proofErr w:type="spellStart"/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obstrüktif</w:t>
            </w:r>
            <w:proofErr w:type="spellEnd"/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 akciğer hastalığının (KOAH)</w:t>
            </w:r>
            <w:r w:rsidR="000F138D"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F138D"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süperinfeksiyonları</w:t>
            </w:r>
            <w:proofErr w:type="spellEnd"/>
          </w:p>
        </w:tc>
        <w:tc>
          <w:tcPr>
            <w:tcW w:w="1559" w:type="dxa"/>
          </w:tcPr>
          <w:p w:rsidR="00666E19" w:rsidRPr="001156AA" w:rsidRDefault="00456A9B" w:rsidP="00666E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400 mg</w:t>
            </w:r>
          </w:p>
        </w:tc>
        <w:tc>
          <w:tcPr>
            <w:tcW w:w="2464" w:type="dxa"/>
          </w:tcPr>
          <w:p w:rsidR="00666E19" w:rsidRPr="001156AA" w:rsidRDefault="00456A9B" w:rsidP="00666E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12 saatte bir 200 mg</w:t>
            </w:r>
          </w:p>
        </w:tc>
      </w:tr>
      <w:tr w:rsidR="00666E19" w:rsidRPr="001156AA" w:rsidTr="00456A9B">
        <w:trPr>
          <w:trHeight w:val="425"/>
        </w:trPr>
        <w:tc>
          <w:tcPr>
            <w:tcW w:w="4786" w:type="dxa"/>
          </w:tcPr>
          <w:p w:rsidR="00666E19" w:rsidRPr="001156AA" w:rsidRDefault="00666E19" w:rsidP="00666E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1156AA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İdrar yolları </w:t>
            </w:r>
            <w:proofErr w:type="gramStart"/>
            <w:r w:rsidRPr="001156AA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enfeksiyonları</w:t>
            </w:r>
            <w:proofErr w:type="gramEnd"/>
          </w:p>
        </w:tc>
        <w:tc>
          <w:tcPr>
            <w:tcW w:w="1559" w:type="dxa"/>
          </w:tcPr>
          <w:p w:rsidR="00666E19" w:rsidRPr="001156AA" w:rsidRDefault="00666E19" w:rsidP="00666E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4" w:type="dxa"/>
          </w:tcPr>
          <w:p w:rsidR="00666E19" w:rsidRPr="001156AA" w:rsidRDefault="00666E19" w:rsidP="00666E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</w:p>
        </w:tc>
      </w:tr>
      <w:tr w:rsidR="00456A9B" w:rsidRPr="001156AA" w:rsidTr="00456A9B">
        <w:trPr>
          <w:trHeight w:val="425"/>
        </w:trPr>
        <w:tc>
          <w:tcPr>
            <w:tcW w:w="4786" w:type="dxa"/>
          </w:tcPr>
          <w:p w:rsidR="00456A9B" w:rsidRPr="001156AA" w:rsidRDefault="00456A9B" w:rsidP="00666E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Komplike olmayan alt idrar yolu </w:t>
            </w:r>
            <w:proofErr w:type="gramStart"/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enfeksiyonu</w:t>
            </w:r>
            <w:proofErr w:type="gramEnd"/>
          </w:p>
        </w:tc>
        <w:tc>
          <w:tcPr>
            <w:tcW w:w="1559" w:type="dxa"/>
          </w:tcPr>
          <w:p w:rsidR="00456A9B" w:rsidRPr="001156AA" w:rsidRDefault="00456A9B" w:rsidP="003A07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200 mg</w:t>
            </w:r>
          </w:p>
        </w:tc>
        <w:tc>
          <w:tcPr>
            <w:tcW w:w="2464" w:type="dxa"/>
          </w:tcPr>
          <w:p w:rsidR="00456A9B" w:rsidRPr="001156AA" w:rsidRDefault="00456A9B" w:rsidP="003A07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12 saatte bir 100 mg</w:t>
            </w:r>
          </w:p>
        </w:tc>
      </w:tr>
      <w:tr w:rsidR="00456A9B" w:rsidRPr="001156AA" w:rsidTr="00456A9B">
        <w:trPr>
          <w:trHeight w:val="425"/>
        </w:trPr>
        <w:tc>
          <w:tcPr>
            <w:tcW w:w="4786" w:type="dxa"/>
          </w:tcPr>
          <w:p w:rsidR="00456A9B" w:rsidRPr="001156AA" w:rsidRDefault="00456A9B" w:rsidP="00666E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Komplike olmayan üst idrar yolu </w:t>
            </w:r>
            <w:proofErr w:type="gramStart"/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enfeksiyonu</w:t>
            </w:r>
            <w:proofErr w:type="gramEnd"/>
          </w:p>
        </w:tc>
        <w:tc>
          <w:tcPr>
            <w:tcW w:w="1559" w:type="dxa"/>
          </w:tcPr>
          <w:p w:rsidR="00456A9B" w:rsidRPr="001156AA" w:rsidRDefault="00456A9B" w:rsidP="003A07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400 mg</w:t>
            </w:r>
          </w:p>
        </w:tc>
        <w:tc>
          <w:tcPr>
            <w:tcW w:w="2464" w:type="dxa"/>
          </w:tcPr>
          <w:p w:rsidR="00456A9B" w:rsidRPr="001156AA" w:rsidRDefault="00456A9B" w:rsidP="003A07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12 saatte bir 200 mg</w:t>
            </w:r>
          </w:p>
        </w:tc>
      </w:tr>
      <w:tr w:rsidR="00456A9B" w:rsidRPr="001156AA" w:rsidTr="00456A9B">
        <w:trPr>
          <w:trHeight w:val="425"/>
        </w:trPr>
        <w:tc>
          <w:tcPr>
            <w:tcW w:w="4786" w:type="dxa"/>
          </w:tcPr>
          <w:p w:rsidR="00456A9B" w:rsidRPr="001156AA" w:rsidRDefault="00456A9B" w:rsidP="00666E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Komplike olmayan </w:t>
            </w:r>
            <w:proofErr w:type="spellStart"/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gonokokal</w:t>
            </w:r>
            <w:proofErr w:type="spellEnd"/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üretrit</w:t>
            </w:r>
            <w:proofErr w:type="spellEnd"/>
          </w:p>
        </w:tc>
        <w:tc>
          <w:tcPr>
            <w:tcW w:w="1559" w:type="dxa"/>
          </w:tcPr>
          <w:p w:rsidR="00456A9B" w:rsidRPr="001156AA" w:rsidRDefault="00456A9B" w:rsidP="003A07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200 mg</w:t>
            </w:r>
          </w:p>
        </w:tc>
        <w:tc>
          <w:tcPr>
            <w:tcW w:w="2464" w:type="dxa"/>
          </w:tcPr>
          <w:p w:rsidR="00456A9B" w:rsidRPr="001156AA" w:rsidRDefault="00456A9B" w:rsidP="00666E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Tek doz</w:t>
            </w:r>
          </w:p>
        </w:tc>
      </w:tr>
      <w:tr w:rsidR="00456A9B" w:rsidRPr="001156AA" w:rsidTr="00456A9B">
        <w:trPr>
          <w:trHeight w:val="425"/>
        </w:trPr>
        <w:tc>
          <w:tcPr>
            <w:tcW w:w="4786" w:type="dxa"/>
          </w:tcPr>
          <w:p w:rsidR="00456A9B" w:rsidRPr="001156AA" w:rsidRDefault="00456A9B" w:rsidP="00666E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56A9B" w:rsidRPr="001156AA" w:rsidRDefault="00456A9B" w:rsidP="003A07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400 mg</w:t>
            </w:r>
          </w:p>
        </w:tc>
        <w:tc>
          <w:tcPr>
            <w:tcW w:w="2464" w:type="dxa"/>
          </w:tcPr>
          <w:p w:rsidR="00456A9B" w:rsidRPr="001156AA" w:rsidRDefault="00456A9B" w:rsidP="00666E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12 saatte bir 200 mg</w:t>
            </w:r>
          </w:p>
        </w:tc>
      </w:tr>
    </w:tbl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456A9B" w:rsidRPr="001156AA" w:rsidRDefault="00456A9B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Cilt ve yumuşak doku </w:t>
      </w:r>
      <w:proofErr w:type="gramStart"/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enfeksiyonları</w:t>
      </w:r>
      <w:proofErr w:type="gram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</w:p>
    <w:p w:rsidR="00456A9B" w:rsidRPr="001156AA" w:rsidRDefault="00456A9B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*</w:t>
      </w:r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Enfeksiyonun şiddetine göre gerekirse doz 12 saatte bir 200 </w:t>
      </w:r>
      <w:proofErr w:type="spellStart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>mg'a</w:t>
      </w:r>
      <w:proofErr w:type="spellEnd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kadar a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rtırı</w:t>
      </w:r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>labilir.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Uygulama şekli: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Ağızdan alınır. Film</w:t>
      </w:r>
      <w:r w:rsidR="00456A9B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tablet bir bardak su yardımıyla bütün olarak yutulur. Oral olarak emilimi artırmak için besinlerle birlikte uygulanmalıdır.</w:t>
      </w:r>
    </w:p>
    <w:p w:rsidR="00456A9B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Özel </w:t>
      </w:r>
      <w:proofErr w:type="gramStart"/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popülasyonlara</w:t>
      </w:r>
      <w:proofErr w:type="gramEnd"/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ilişkin ek bilgiler: 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Böbrek yetmezliği: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Kreatinin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klirensi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40 ml./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dak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. </w:t>
      </w:r>
      <w:proofErr w:type="gram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üstündeyse</w:t>
      </w:r>
      <w:proofErr w:type="gram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doz ayarlamasına gerek yoktur. Bu değerden düşük olduğunda aşağıdaki tabloya uygun doz ayarlaması gerekir.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proofErr w:type="spellStart"/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Kreatinin</w:t>
      </w:r>
      <w:proofErr w:type="spellEnd"/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klirensi</w:t>
      </w:r>
      <w:proofErr w:type="spellEnd"/>
    </w:p>
    <w:p w:rsidR="00456A9B" w:rsidRPr="001156AA" w:rsidRDefault="00456A9B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≥</w:t>
      </w:r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40 ml/</w:t>
      </w:r>
      <w:proofErr w:type="spellStart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>dak</w:t>
      </w:r>
      <w:proofErr w:type="spellEnd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. 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ab/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ab/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ab/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ab/>
        <w:t>12 saatte bir 100 veya 200 mg</w:t>
      </w:r>
    </w:p>
    <w:p w:rsidR="00456A9B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10-39 ml/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dak</w:t>
      </w:r>
      <w:proofErr w:type="spellEnd"/>
      <w:r w:rsidR="00456A9B" w:rsidRPr="001156AA">
        <w:rPr>
          <w:rFonts w:ascii="Times New Roman" w:eastAsia="TimesNewRoman,Bold" w:hAnsi="Times New Roman" w:cs="Times New Roman"/>
          <w:bCs/>
          <w:sz w:val="24"/>
          <w:szCs w:val="24"/>
        </w:rPr>
        <w:tab/>
      </w:r>
      <w:r w:rsidR="00456A9B" w:rsidRPr="001156AA">
        <w:rPr>
          <w:rFonts w:ascii="Times New Roman" w:eastAsia="TimesNewRoman,Bold" w:hAnsi="Times New Roman" w:cs="Times New Roman"/>
          <w:bCs/>
          <w:sz w:val="24"/>
          <w:szCs w:val="24"/>
        </w:rPr>
        <w:tab/>
      </w:r>
      <w:r w:rsidR="00456A9B" w:rsidRPr="001156AA">
        <w:rPr>
          <w:rFonts w:ascii="Times New Roman" w:eastAsia="TimesNewRoman,Bold" w:hAnsi="Times New Roman" w:cs="Times New Roman"/>
          <w:bCs/>
          <w:sz w:val="24"/>
          <w:szCs w:val="24"/>
        </w:rPr>
        <w:tab/>
      </w:r>
      <w:r w:rsidR="00456A9B" w:rsidRPr="001156AA">
        <w:rPr>
          <w:rFonts w:ascii="Times New Roman" w:eastAsia="TimesNewRoman,Bold" w:hAnsi="Times New Roman" w:cs="Times New Roman"/>
          <w:bCs/>
          <w:sz w:val="24"/>
          <w:szCs w:val="24"/>
        </w:rPr>
        <w:tab/>
        <w:t>24 saatte bir 100 veya 200 mg</w:t>
      </w:r>
    </w:p>
    <w:p w:rsidR="00456A9B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&lt; 10 ml/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dak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. </w:t>
      </w:r>
      <w:r w:rsidR="00456A9B" w:rsidRPr="001156AA">
        <w:rPr>
          <w:rFonts w:ascii="Times New Roman" w:eastAsia="TimesNewRoman,Bold" w:hAnsi="Times New Roman" w:cs="Times New Roman"/>
          <w:bCs/>
          <w:sz w:val="24"/>
          <w:szCs w:val="24"/>
        </w:rPr>
        <w:tab/>
      </w:r>
      <w:r w:rsidR="00456A9B" w:rsidRPr="001156AA">
        <w:rPr>
          <w:rFonts w:ascii="Times New Roman" w:eastAsia="TimesNewRoman,Bold" w:hAnsi="Times New Roman" w:cs="Times New Roman"/>
          <w:bCs/>
          <w:sz w:val="24"/>
          <w:szCs w:val="24"/>
        </w:rPr>
        <w:tab/>
      </w:r>
      <w:r w:rsidR="00456A9B" w:rsidRPr="001156AA">
        <w:rPr>
          <w:rFonts w:ascii="Times New Roman" w:eastAsia="TimesNewRoman,Bold" w:hAnsi="Times New Roman" w:cs="Times New Roman"/>
          <w:bCs/>
          <w:sz w:val="24"/>
          <w:szCs w:val="24"/>
        </w:rPr>
        <w:tab/>
      </w:r>
      <w:r w:rsidR="00456A9B" w:rsidRPr="001156AA">
        <w:rPr>
          <w:rFonts w:ascii="Times New Roman" w:eastAsia="TimesNewRoman,Bold" w:hAnsi="Times New Roman" w:cs="Times New Roman"/>
          <w:bCs/>
          <w:sz w:val="24"/>
          <w:szCs w:val="24"/>
        </w:rPr>
        <w:tab/>
        <w:t>48 saatte bir 100 veya 200 mg</w:t>
      </w:r>
    </w:p>
    <w:p w:rsidR="00456A9B" w:rsidRPr="001156AA" w:rsidRDefault="00456A9B" w:rsidP="00456A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Hemodiyaliz hastaları 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ab/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ab/>
        <w:t>her diyalizden sonra 100 veya 200 mg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Böbrek yetmezliği olan çocuklarda;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Kreatinin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klirensi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40 </w:t>
      </w:r>
      <w:hyperlink r:id="rId8" w:history="1">
        <w:proofErr w:type="gramStart"/>
        <w:r w:rsidRPr="001156AA">
          <w:rPr>
            <w:rFonts w:ascii="Times New Roman" w:eastAsia="TimesNewRoman,Bold" w:hAnsi="Times New Roman" w:cs="Times New Roman"/>
            <w:bCs/>
            <w:sz w:val="24"/>
            <w:szCs w:val="24"/>
          </w:rPr>
          <w:t>ml.</w:t>
        </w:r>
        <w:proofErr w:type="spellStart"/>
        <w:r w:rsidRPr="001156AA">
          <w:rPr>
            <w:rFonts w:ascii="Times New Roman" w:eastAsia="TimesNewRoman,Bold" w:hAnsi="Times New Roman" w:cs="Times New Roman"/>
            <w:bCs/>
            <w:sz w:val="24"/>
            <w:szCs w:val="24"/>
          </w:rPr>
          <w:t>dak</w:t>
        </w:r>
        <w:proofErr w:type="spellEnd"/>
        <w:proofErr w:type="gramEnd"/>
        <w:r w:rsidR="00456A9B" w:rsidRPr="001156AA">
          <w:rPr>
            <w:rFonts w:ascii="Times New Roman" w:eastAsia="TimesNewRoman,Bold" w:hAnsi="Times New Roman" w:cs="Times New Roman"/>
            <w:bCs/>
            <w:sz w:val="24"/>
            <w:szCs w:val="24"/>
            <w:vertAlign w:val="superscript"/>
          </w:rPr>
          <w:t>-1</w:t>
        </w:r>
        <w:r w:rsidR="00456A9B" w:rsidRPr="001156AA">
          <w:rPr>
            <w:rFonts w:ascii="Times New Roman" w:eastAsia="TimesNewRoman,Bold" w:hAnsi="Times New Roman" w:cs="Times New Roman"/>
            <w:bCs/>
            <w:sz w:val="24"/>
            <w:szCs w:val="24"/>
          </w:rPr>
          <w:t>/</w:t>
        </w:r>
        <w:r w:rsidRPr="001156AA">
          <w:rPr>
            <w:rFonts w:ascii="Times New Roman" w:eastAsia="TimesNewRoman,Bold" w:hAnsi="Times New Roman" w:cs="Times New Roman"/>
            <w:bCs/>
            <w:sz w:val="24"/>
            <w:szCs w:val="24"/>
          </w:rPr>
          <w:t>l.73</w:t>
        </w:r>
      </w:hyperlink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m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  <w:vertAlign w:val="superscript"/>
        </w:rPr>
        <w:t>2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'nin altındaysa, doz aralığı aşağıdaki şekilde düzenlenmelidir:</w:t>
      </w:r>
    </w:p>
    <w:p w:rsidR="00456A9B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Kreatinin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klirensi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10-39 </w:t>
      </w:r>
      <w:hyperlink r:id="rId9" w:history="1">
        <w:proofErr w:type="gramStart"/>
        <w:r w:rsidR="00456A9B" w:rsidRPr="001156AA">
          <w:rPr>
            <w:rFonts w:ascii="Times New Roman" w:eastAsia="TimesNewRoman,Bold" w:hAnsi="Times New Roman" w:cs="Times New Roman"/>
            <w:bCs/>
            <w:sz w:val="24"/>
            <w:szCs w:val="24"/>
          </w:rPr>
          <w:t>ml.</w:t>
        </w:r>
        <w:proofErr w:type="spellStart"/>
        <w:r w:rsidR="00456A9B" w:rsidRPr="001156AA">
          <w:rPr>
            <w:rFonts w:ascii="Times New Roman" w:eastAsia="TimesNewRoman,Bold" w:hAnsi="Times New Roman" w:cs="Times New Roman"/>
            <w:bCs/>
            <w:sz w:val="24"/>
            <w:szCs w:val="24"/>
          </w:rPr>
          <w:t>dak</w:t>
        </w:r>
        <w:proofErr w:type="spellEnd"/>
        <w:proofErr w:type="gramEnd"/>
        <w:r w:rsidR="00456A9B" w:rsidRPr="001156AA">
          <w:rPr>
            <w:rFonts w:ascii="Times New Roman" w:eastAsia="TimesNewRoman,Bold" w:hAnsi="Times New Roman" w:cs="Times New Roman"/>
            <w:bCs/>
            <w:sz w:val="24"/>
            <w:szCs w:val="24"/>
            <w:vertAlign w:val="superscript"/>
          </w:rPr>
          <w:t>-1</w:t>
        </w:r>
        <w:r w:rsidR="00456A9B" w:rsidRPr="001156AA">
          <w:rPr>
            <w:rFonts w:ascii="Times New Roman" w:eastAsia="TimesNewRoman,Bold" w:hAnsi="Times New Roman" w:cs="Times New Roman"/>
            <w:bCs/>
            <w:sz w:val="24"/>
            <w:szCs w:val="24"/>
          </w:rPr>
          <w:t>/l.73</w:t>
        </w:r>
      </w:hyperlink>
      <w:r w:rsidR="00456A9B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m</w:t>
      </w:r>
      <w:r w:rsidR="00456A9B" w:rsidRPr="001156AA">
        <w:rPr>
          <w:rFonts w:ascii="Times New Roman" w:eastAsia="TimesNewRoman,Bold" w:hAnsi="Times New Roman" w:cs="Times New Roman"/>
          <w:bCs/>
          <w:sz w:val="24"/>
          <w:szCs w:val="24"/>
          <w:vertAlign w:val="superscript"/>
        </w:rPr>
        <w:t>2</w:t>
      </w:r>
      <w:r w:rsidR="00456A9B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=her 24 saatte bir birim doz 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Kreatinin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klirensi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&lt; 10 </w:t>
      </w:r>
      <w:hyperlink r:id="rId10" w:history="1">
        <w:proofErr w:type="gramStart"/>
        <w:r w:rsidR="00456A9B" w:rsidRPr="001156AA">
          <w:rPr>
            <w:rFonts w:ascii="Times New Roman" w:eastAsia="TimesNewRoman,Bold" w:hAnsi="Times New Roman" w:cs="Times New Roman"/>
            <w:bCs/>
            <w:sz w:val="24"/>
            <w:szCs w:val="24"/>
          </w:rPr>
          <w:t>ml.</w:t>
        </w:r>
        <w:proofErr w:type="spellStart"/>
        <w:r w:rsidR="00456A9B" w:rsidRPr="001156AA">
          <w:rPr>
            <w:rFonts w:ascii="Times New Roman" w:eastAsia="TimesNewRoman,Bold" w:hAnsi="Times New Roman" w:cs="Times New Roman"/>
            <w:bCs/>
            <w:sz w:val="24"/>
            <w:szCs w:val="24"/>
          </w:rPr>
          <w:t>dak</w:t>
        </w:r>
        <w:proofErr w:type="spellEnd"/>
        <w:proofErr w:type="gramEnd"/>
        <w:r w:rsidR="00456A9B" w:rsidRPr="001156AA">
          <w:rPr>
            <w:rFonts w:ascii="Times New Roman" w:eastAsia="TimesNewRoman,Bold" w:hAnsi="Times New Roman" w:cs="Times New Roman"/>
            <w:bCs/>
            <w:sz w:val="24"/>
            <w:szCs w:val="24"/>
            <w:vertAlign w:val="superscript"/>
          </w:rPr>
          <w:t>-1</w:t>
        </w:r>
        <w:r w:rsidR="00456A9B" w:rsidRPr="001156AA">
          <w:rPr>
            <w:rFonts w:ascii="Times New Roman" w:eastAsia="TimesNewRoman,Bold" w:hAnsi="Times New Roman" w:cs="Times New Roman"/>
            <w:bCs/>
            <w:sz w:val="24"/>
            <w:szCs w:val="24"/>
          </w:rPr>
          <w:t>/l.73</w:t>
        </w:r>
      </w:hyperlink>
      <w:r w:rsidR="00456A9B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m</w:t>
      </w:r>
      <w:r w:rsidR="00456A9B" w:rsidRPr="001156AA">
        <w:rPr>
          <w:rFonts w:ascii="Times New Roman" w:eastAsia="TimesNewRoman,Bold" w:hAnsi="Times New Roman" w:cs="Times New Roman"/>
          <w:bCs/>
          <w:sz w:val="24"/>
          <w:szCs w:val="24"/>
          <w:vertAlign w:val="superscript"/>
        </w:rPr>
        <w:t>2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=her 48 saatte bir birim doz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Hemodiyaliz hastala</w:t>
      </w:r>
      <w:r w:rsidR="00456A9B" w:rsidRPr="001156AA">
        <w:rPr>
          <w:rFonts w:ascii="Times New Roman" w:eastAsia="TimesNewRoman,Bold" w:hAnsi="Times New Roman" w:cs="Times New Roman"/>
          <w:bCs/>
          <w:sz w:val="24"/>
          <w:szCs w:val="24"/>
        </w:rPr>
        <w:t>rı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nda her diyaliz uygulamasının ardından birim doz uygulanır.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Karaciğer yetmezliği: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Karaciğer yetmezliğinde doz ayarlamasına gerek yoktur.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proofErr w:type="spellStart"/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Pediyatrik</w:t>
      </w:r>
      <w:proofErr w:type="spellEnd"/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popülasyon</w:t>
      </w:r>
      <w:proofErr w:type="gramEnd"/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:</w:t>
      </w:r>
    </w:p>
    <w:p w:rsidR="00920BC9" w:rsidRPr="001156AA" w:rsidRDefault="00920BC9" w:rsidP="00920B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SEFTECH'in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çocuklarda kullanılmak üzere üretilen, oral süspansiyon </w:t>
      </w:r>
      <w:r w:rsidR="00EE03B4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hazırlamak 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için kuru toz formu bulunmaktadır. Önerilen ortalama doz ikiye bölünmüş halde 8 mg/kg/gündür. 200 mg/gün'ün üstündeki dozlarda tablet kullanılmalıdır. Bu dozun üstünde 100 mg tabletler kullanılabilir.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proofErr w:type="spellStart"/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Geriyatrik</w:t>
      </w:r>
      <w:proofErr w:type="spellEnd"/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popülasyon</w:t>
      </w:r>
      <w:proofErr w:type="gramEnd"/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: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Böbrek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fonksiyonlan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normal olan yaşlılarda, doz ayarlamasına gerek yoktur.</w:t>
      </w:r>
    </w:p>
    <w:p w:rsidR="00456A9B" w:rsidRPr="001156AA" w:rsidRDefault="00456A9B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4.3</w:t>
      </w:r>
      <w:r w:rsidR="00545921"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.</w:t>
      </w: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ab/>
      </w:r>
      <w:proofErr w:type="spellStart"/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Kontrendikasyonlar</w:t>
      </w:r>
      <w:proofErr w:type="spellEnd"/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Sefpodoksime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y</w:t>
      </w:r>
      <w:r w:rsidR="00456A9B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a da </w:t>
      </w:r>
      <w:proofErr w:type="spellStart"/>
      <w:r w:rsidR="00456A9B"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sefalosporinlere</w:t>
      </w:r>
      <w:proofErr w:type="spellEnd"/>
      <w:r w:rsidR="00456A9B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karşı aşırı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duyarlılık.</w:t>
      </w:r>
    </w:p>
    <w:p w:rsidR="00456A9B" w:rsidRPr="001156AA" w:rsidRDefault="00456A9B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4.4</w:t>
      </w:r>
      <w:r w:rsidR="00545921"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.</w:t>
      </w: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ab/>
        <w:t>Özel kullanım uyarıları ve önlemleri</w:t>
      </w:r>
    </w:p>
    <w:p w:rsidR="00666E19" w:rsidRPr="001156AA" w:rsidRDefault="00666E19" w:rsidP="00920BC9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Anafilaktik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reaksiyonlar: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Sefalosporinlerin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kullanımından önce hastada alerjiye eğilimin, özellikle de beta-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laktam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antibiyotiklere karşı bir </w:t>
      </w:r>
      <w:r w:rsidR="00620BF6" w:rsidRPr="001156AA">
        <w:rPr>
          <w:rFonts w:ascii="Times New Roman" w:eastAsia="TimesNewRoman,Bold" w:hAnsi="Times New Roman" w:cs="Times New Roman"/>
          <w:bCs/>
          <w:sz w:val="24"/>
          <w:szCs w:val="24"/>
        </w:rPr>
        <w:t>aşırı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duyarlığın bulunup bulu</w:t>
      </w:r>
      <w:r w:rsidR="00620BF6" w:rsidRPr="001156AA">
        <w:rPr>
          <w:rFonts w:ascii="Times New Roman" w:eastAsia="TimesNewRoman,Bold" w:hAnsi="Times New Roman" w:cs="Times New Roman"/>
          <w:bCs/>
          <w:sz w:val="24"/>
          <w:szCs w:val="24"/>
        </w:rPr>
        <w:t>nmadığı araştırılmalıdır. Bir aşırı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duyarlılık reaksiyonu ortaya çıktığı takdirde tedavi kesilmelidir.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Anamnezinde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sefalosporinlere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karşı erken tipte bir </w:t>
      </w:r>
      <w:r w:rsidR="00620BF6" w:rsidRPr="001156AA">
        <w:rPr>
          <w:rFonts w:ascii="Times New Roman" w:eastAsia="TimesNewRoman,Bold" w:hAnsi="Times New Roman" w:cs="Times New Roman"/>
          <w:bCs/>
          <w:sz w:val="24"/>
          <w:szCs w:val="24"/>
        </w:rPr>
        <w:t>aşırı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duyarlılık reaksiyonu öyküsü olan hastalarda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sefpodoksimin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kullanımı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kontrendikedir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.</w:t>
      </w:r>
    </w:p>
    <w:p w:rsidR="00666E19" w:rsidRPr="001156AA" w:rsidRDefault="00620BF6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Vakaları</w:t>
      </w:r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n %5-10'unda penisilinler ve </w:t>
      </w:r>
      <w:proofErr w:type="spellStart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sefalosporinler</w:t>
      </w:r>
      <w:proofErr w:type="spellEnd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arasında çapraz alerji bulunduğundan, penisiline duyarlı kişilerde </w:t>
      </w:r>
      <w:proofErr w:type="spellStart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sefalosporinler</w:t>
      </w:r>
      <w:proofErr w:type="spellEnd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çok dikkatli kullanılmalıdır; ilk uygulamada yakın bir takip gerekmektedir. Bu iki antibiyotik grubu ile ortaya çıkan 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aşırı</w:t>
      </w:r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duyarlılık reaksiyonla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rı</w:t>
      </w:r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(</w:t>
      </w:r>
      <w:proofErr w:type="gramStart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>anafilaksi</w:t>
      </w:r>
      <w:proofErr w:type="gramEnd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>) ciddi ve hatta öldürücü olabilir.</w:t>
      </w:r>
    </w:p>
    <w:p w:rsidR="00920BC9" w:rsidRPr="001156AA" w:rsidRDefault="00456A9B" w:rsidP="00920BC9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Clostridium</w:t>
      </w:r>
      <w:proofErr w:type="spellEnd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dif</w:t>
      </w:r>
      <w:r w:rsidR="00666E19"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f</w:t>
      </w:r>
      <w:r w:rsidR="00920BC9"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i</w:t>
      </w:r>
      <w:r w:rsidR="00666E19"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cile</w:t>
      </w:r>
      <w:proofErr w:type="spellEnd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ile ilişkili hastalıklar (ör: </w:t>
      </w:r>
      <w:proofErr w:type="spellStart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>Psödomembranöz</w:t>
      </w:r>
      <w:proofErr w:type="spellEnd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kolit) 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Çeşitli antibiyotiklerle</w:t>
      </w:r>
      <w:r w:rsidR="00620BF6" w:rsidRPr="001156AA">
        <w:rPr>
          <w:rFonts w:ascii="Times New Roman" w:eastAsia="TimesNewRoman,Bold" w:hAnsi="Times New Roman" w:cs="Times New Roman"/>
          <w:bCs/>
          <w:sz w:val="24"/>
          <w:szCs w:val="24"/>
        </w:rPr>
        <w:t>, özellikle geniş spektrumlularl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a tedavi sırasında veya takip eden ilk haftalarda şiddetli ve inatçı bir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diyare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ortaya çıkarsa, bu durum </w:t>
      </w:r>
      <w:proofErr w:type="spellStart"/>
      <w:r w:rsidR="007D4E43"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Clostridium</w:t>
      </w:r>
      <w:proofErr w:type="spellEnd"/>
      <w:r w:rsidR="007D4E43"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7D4E43"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dif</w:t>
      </w:r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f</w:t>
      </w:r>
      <w:r w:rsidR="007D4E43"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i</w:t>
      </w:r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cile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ile ilişkili 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lastRenderedPageBreak/>
        <w:t xml:space="preserve">ağır bir hastalık şekli olan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psödomembranöz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kolitin bir </w:t>
      </w:r>
      <w:proofErr w:type="gram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semptomu</w:t>
      </w:r>
      <w:proofErr w:type="gram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olabilir. </w:t>
      </w:r>
      <w:proofErr w:type="spellStart"/>
      <w:r w:rsidR="007D4E43" w:rsidRPr="001156AA">
        <w:rPr>
          <w:rFonts w:ascii="Times New Roman" w:eastAsia="TimesNewRoman,Bold" w:hAnsi="Times New Roman" w:cs="Times New Roman"/>
          <w:bCs/>
          <w:sz w:val="24"/>
          <w:szCs w:val="24"/>
        </w:rPr>
        <w:t>Psödomembranöz</w:t>
      </w:r>
      <w:proofErr w:type="spellEnd"/>
      <w:r w:rsidR="007D4E43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kolitten </w:t>
      </w:r>
      <w:r w:rsidR="007D4E43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şüphelenilirse, </w:t>
      </w:r>
      <w:proofErr w:type="spellStart"/>
      <w:r w:rsidR="007D4E43"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sefpodoksim</w:t>
      </w:r>
      <w:proofErr w:type="spellEnd"/>
      <w:r w:rsidR="007D4E43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="007D4E43" w:rsidRPr="001156AA">
        <w:rPr>
          <w:rFonts w:ascii="Times New Roman" w:eastAsia="TimesNewRoman,Bold" w:hAnsi="Times New Roman" w:cs="Times New Roman"/>
          <w:bCs/>
          <w:sz w:val="24"/>
          <w:szCs w:val="24"/>
        </w:rPr>
        <w:t>proksetil</w:t>
      </w:r>
      <w:proofErr w:type="spellEnd"/>
      <w:r w:rsidR="007D4E43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derhal kesilmeli 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ve gecikmeden uygun bir tedaviye başlanmalıdır.</w:t>
      </w:r>
    </w:p>
    <w:p w:rsidR="00666E19" w:rsidRPr="001156AA" w:rsidRDefault="00666E19" w:rsidP="00920BC9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Böbrek yetmezliği olan hastalarda, günlük doz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kreatinin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klirensine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göre ayarlanmalıdır.</w:t>
      </w:r>
    </w:p>
    <w:p w:rsidR="00666E19" w:rsidRPr="001156AA" w:rsidRDefault="00666E19" w:rsidP="00920BC9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İçeriğinde laktoz bulunduğu için, nadir kalıtımsal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galaktoz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intoleransı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,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Lapp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laktoz yetmezliği ya da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glukoz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-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galaktoz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malab</w:t>
      </w:r>
      <w:r w:rsidR="007D4E43" w:rsidRPr="001156AA">
        <w:rPr>
          <w:rFonts w:ascii="Times New Roman" w:eastAsia="TimesNewRoman,Bold" w:hAnsi="Times New Roman" w:cs="Times New Roman"/>
          <w:bCs/>
          <w:sz w:val="24"/>
          <w:szCs w:val="24"/>
        </w:rPr>
        <w:t>sorpsiyon</w:t>
      </w:r>
      <w:proofErr w:type="spellEnd"/>
      <w:r w:rsidR="007D4E43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problemi olan hastaları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n bu ilacı kullanmamala</w:t>
      </w:r>
      <w:r w:rsidR="007D4E43" w:rsidRPr="001156AA">
        <w:rPr>
          <w:rFonts w:ascii="Times New Roman" w:eastAsia="TimesNewRoman,Bold" w:hAnsi="Times New Roman" w:cs="Times New Roman"/>
          <w:bCs/>
          <w:sz w:val="24"/>
          <w:szCs w:val="24"/>
        </w:rPr>
        <w:t>rı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gerekir.</w:t>
      </w:r>
    </w:p>
    <w:p w:rsidR="005170EB" w:rsidRPr="001156AA" w:rsidRDefault="005170EB" w:rsidP="005170EB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Bu t</w:t>
      </w:r>
      <w:r w:rsidRPr="001156AA">
        <w:rPr>
          <w:rFonts w:ascii="Times New Roman" w:eastAsia="TimesNewRoman,Bold" w:hAnsi="Times New Roman" w:cs="Times New Roman" w:hint="eastAsia"/>
          <w:bCs/>
          <w:sz w:val="24"/>
          <w:szCs w:val="24"/>
        </w:rPr>
        <w:t>ı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bbi ürün her dozunda 1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mmol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(23 mg)’</w:t>
      </w:r>
      <w:proofErr w:type="gram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dan</w:t>
      </w:r>
      <w:proofErr w:type="gram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daha az sodyum ihtiva eder; bu dozda sodyuma bağlı herhangi bir yan etki beklenmemektedir.</w:t>
      </w:r>
    </w:p>
    <w:p w:rsidR="007D4E43" w:rsidRPr="001156AA" w:rsidRDefault="007D4E43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4.5</w:t>
      </w:r>
      <w:r w:rsidR="00545921"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.</w:t>
      </w: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ab/>
        <w:t>Diğer tıbbi ürünler ile etkileşim ve diğer etkileşim şekilleri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Klinik olarak anlamlı hiçbir ilaç etkileşimi </w:t>
      </w:r>
      <w:r w:rsidR="007D4E43" w:rsidRPr="001156AA">
        <w:rPr>
          <w:rFonts w:ascii="Times New Roman" w:eastAsia="TimesNewRoman,Bold" w:hAnsi="Times New Roman" w:cs="Times New Roman"/>
          <w:bCs/>
          <w:sz w:val="24"/>
          <w:szCs w:val="24"/>
        </w:rPr>
        <w:t>kli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nik çalışmalar sırasında bildirilmemiştir.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Histamin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-H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  <w:vertAlign w:val="subscript"/>
        </w:rPr>
        <w:t>2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gram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antagonistleri</w:t>
      </w:r>
      <w:proofErr w:type="gram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ve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antasidler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biyoyararla</w:t>
      </w:r>
      <w:r w:rsidR="007D4E43" w:rsidRPr="001156AA">
        <w:rPr>
          <w:rFonts w:ascii="Times New Roman" w:eastAsia="TimesNewRoman,Bold" w:hAnsi="Times New Roman" w:cs="Times New Roman"/>
          <w:bCs/>
          <w:sz w:val="24"/>
          <w:szCs w:val="24"/>
        </w:rPr>
        <w:t>nımını</w:t>
      </w:r>
      <w:proofErr w:type="spellEnd"/>
      <w:r w:rsidR="007D4E43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azaltır.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Probenesid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sefalosporinlerin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atılımını azaltır.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Sefolosporinler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,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kumarinlerin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antikoagülan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etkisini art</w:t>
      </w:r>
      <w:r w:rsidR="00920BC9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ırabilir ve östrojenlerin </w:t>
      </w:r>
      <w:proofErr w:type="spellStart"/>
      <w:r w:rsidR="00920BC9" w:rsidRPr="001156AA">
        <w:rPr>
          <w:rFonts w:ascii="Times New Roman" w:eastAsia="TimesNewRoman,Bold" w:hAnsi="Times New Roman" w:cs="Times New Roman"/>
          <w:bCs/>
          <w:sz w:val="24"/>
          <w:szCs w:val="24"/>
        </w:rPr>
        <w:t>kontra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septif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etkisini azaltabilirler.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Sefalosporinler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ile tedavi sırasında pozitif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Coombs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testi bildirilmiştir.</w:t>
      </w:r>
    </w:p>
    <w:p w:rsidR="00666E19" w:rsidRPr="001156AA" w:rsidRDefault="00920BC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Sefpodoksim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proksetil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, </w:t>
      </w:r>
      <w:proofErr w:type="spellStart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>gastrik</w:t>
      </w:r>
      <w:proofErr w:type="spellEnd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>pH'ı</w:t>
      </w:r>
      <w:proofErr w:type="spellEnd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>nötrolize</w:t>
      </w:r>
      <w:proofErr w:type="spellEnd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eden veya asit </w:t>
      </w:r>
      <w:proofErr w:type="spellStart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>sekresyonlannı</w:t>
      </w:r>
      <w:proofErr w:type="spellEnd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>inhibe</w:t>
      </w:r>
      <w:proofErr w:type="spellEnd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eden ilaçlarla bir</w:t>
      </w:r>
      <w:r w:rsidR="007D4E43" w:rsidRPr="001156AA">
        <w:rPr>
          <w:rFonts w:ascii="Times New Roman" w:eastAsia="TimesNewRoman,Bold" w:hAnsi="Times New Roman" w:cs="Times New Roman"/>
          <w:bCs/>
          <w:sz w:val="24"/>
          <w:szCs w:val="24"/>
        </w:rPr>
        <w:t>li</w:t>
      </w:r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kte alındığında, </w:t>
      </w:r>
      <w:proofErr w:type="spellStart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>biyoyararlanı</w:t>
      </w:r>
      <w:r w:rsidR="007D4E43" w:rsidRPr="001156AA">
        <w:rPr>
          <w:rFonts w:ascii="Times New Roman" w:eastAsia="TimesNewRoman,Bold" w:hAnsi="Times New Roman" w:cs="Times New Roman"/>
          <w:bCs/>
          <w:sz w:val="24"/>
          <w:szCs w:val="24"/>
        </w:rPr>
        <w:t>mın</w:t>
      </w:r>
      <w:proofErr w:type="spellEnd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yaklaşık olarak %30 azaldığı görü</w:t>
      </w:r>
      <w:r w:rsidR="007D4E43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lmüştür. Bu sebeple </w:t>
      </w:r>
      <w:proofErr w:type="spellStart"/>
      <w:r w:rsidR="007D4E43" w:rsidRPr="001156AA">
        <w:rPr>
          <w:rFonts w:ascii="Times New Roman" w:eastAsia="TimesNewRoman,Bold" w:hAnsi="Times New Roman" w:cs="Times New Roman"/>
          <w:bCs/>
          <w:sz w:val="24"/>
          <w:szCs w:val="24"/>
        </w:rPr>
        <w:t>gastrik</w:t>
      </w:r>
      <w:proofErr w:type="spellEnd"/>
      <w:r w:rsidR="007D4E43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="007D4E43" w:rsidRPr="001156AA">
        <w:rPr>
          <w:rFonts w:ascii="Times New Roman" w:eastAsia="TimesNewRoman,Bold" w:hAnsi="Times New Roman" w:cs="Times New Roman"/>
          <w:bCs/>
          <w:sz w:val="24"/>
          <w:szCs w:val="24"/>
        </w:rPr>
        <w:t>pH'ın</w:t>
      </w:r>
      <w:proofErr w:type="spellEnd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yükselmesine sebep olan </w:t>
      </w:r>
      <w:proofErr w:type="spellStart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>ranitidin</w:t>
      </w:r>
      <w:proofErr w:type="spellEnd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gibi mineral tipi antiasitler ve H2 </w:t>
      </w:r>
      <w:proofErr w:type="spellStart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>blokörleri</w:t>
      </w:r>
      <w:proofErr w:type="spellEnd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="00555A81"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SEFTECH</w:t>
      </w:r>
      <w:r w:rsidR="007D4E43" w:rsidRPr="001156AA">
        <w:rPr>
          <w:rFonts w:ascii="Times New Roman" w:eastAsia="TimesNewRoman,Bold" w:hAnsi="Times New Roman" w:cs="Times New Roman"/>
          <w:bCs/>
          <w:sz w:val="24"/>
          <w:szCs w:val="24"/>
        </w:rPr>
        <w:t>'i</w:t>
      </w:r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>n</w:t>
      </w:r>
      <w:proofErr w:type="spellEnd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alınmasından 2 veya 3 saat sonra alınmalıdır.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Buna karşın,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pentagristin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gibi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gastrik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pH'ı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düşüren ilaçlar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biyoyara</w:t>
      </w:r>
      <w:r w:rsidR="005D6F5E" w:rsidRPr="001156AA">
        <w:rPr>
          <w:rFonts w:ascii="Times New Roman" w:eastAsia="TimesNewRoman,Bold" w:hAnsi="Times New Roman" w:cs="Times New Roman"/>
          <w:bCs/>
          <w:sz w:val="24"/>
          <w:szCs w:val="24"/>
        </w:rPr>
        <w:t>r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lanımı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yükseltecektir. Besinlerle birlikte kullanımı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biyoyararlanımı</w:t>
      </w:r>
      <w:r w:rsidR="007D4E43" w:rsidRPr="001156AA">
        <w:rPr>
          <w:rFonts w:ascii="Times New Roman" w:eastAsia="TimesNewRoman,Bold" w:hAnsi="Times New Roman" w:cs="Times New Roman"/>
          <w:bCs/>
          <w:sz w:val="24"/>
          <w:szCs w:val="24"/>
        </w:rPr>
        <w:t>nı</w:t>
      </w:r>
      <w:proofErr w:type="spellEnd"/>
      <w:r w:rsidR="007D4E43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artırı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r.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Sefpodoksim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proksetil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ile tedavi edilen hastalarda </w:t>
      </w:r>
      <w:proofErr w:type="gram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spesifik</w:t>
      </w:r>
      <w:proofErr w:type="gram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olmayan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redükleyici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ajanlarla yapılan idrar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glukoz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tayinleri yalancı-pozitif reaksiyon verebilir.</w:t>
      </w:r>
    </w:p>
    <w:p w:rsidR="007D4E43" w:rsidRPr="001156AA" w:rsidRDefault="007D4E43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7D4E43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4.6</w:t>
      </w:r>
      <w:r w:rsidR="00545921"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.</w:t>
      </w: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ab/>
        <w:t xml:space="preserve">Gebelik ve </w:t>
      </w:r>
      <w:proofErr w:type="spellStart"/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laktasyon</w:t>
      </w:r>
      <w:proofErr w:type="spellEnd"/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Genel tavsiye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Gebelik kategorisi: B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Çocuk doğurma potansiyeli bulunan kadınlar /Doğum kontrolü (</w:t>
      </w:r>
      <w:proofErr w:type="spellStart"/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Kontrasepsiyon</w:t>
      </w:r>
      <w:proofErr w:type="spellEnd"/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)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Hayvanlar üzerinde yapılan çalışmalar, gebelik /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embriyonal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/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fetal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gelişim / doğum ya da</w:t>
      </w:r>
      <w:r w:rsidR="007D4E43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doğum sonrası gelişim ile ilgili olarak doğrudan ya da dolaylı zararlı etkiler olduğunu</w:t>
      </w:r>
      <w:r w:rsidR="007D4E43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göstermemektedir.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Gebe kadınlara verilirken tedbirli olunmalıdır.</w:t>
      </w:r>
    </w:p>
    <w:p w:rsidR="003E7C2C" w:rsidRPr="001156AA" w:rsidRDefault="003E7C2C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3E7C2C" w:rsidRPr="001156AA" w:rsidRDefault="003E7C2C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Gebelik dönemi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Çeşitli hayvan türleriyle yapılan çalışmalar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sefpodoksim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proksetilin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herhangi bir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teratojenik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ve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fötotoksik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etkisini göstermemiştir. Ancak, gebelerde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sefpodoksim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proksetilin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güvenirliği saptanmamış olduğundan gebelik sırasında kullanılmaması önerilmektedir.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proofErr w:type="spellStart"/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Laktasyon</w:t>
      </w:r>
      <w:proofErr w:type="spellEnd"/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dönemi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Sefpodoksim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anne sütü ile atılmaktadır. </w:t>
      </w:r>
      <w:r w:rsidR="00555A81"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SEFTECH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tedavi</w:t>
      </w:r>
      <w:r w:rsidR="00E11551" w:rsidRPr="001156AA">
        <w:rPr>
          <w:rFonts w:ascii="Times New Roman" w:eastAsia="TimesNewRoman,Bold" w:hAnsi="Times New Roman" w:cs="Times New Roman"/>
          <w:bCs/>
          <w:sz w:val="24"/>
          <w:szCs w:val="24"/>
        </w:rPr>
        <w:t>si sırasında emzirme durdurulmalı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dır ya da emziren annede </w:t>
      </w:r>
      <w:r w:rsidR="00555A81"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SEFTECH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tedavisinden kaçınılmalıdır.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Üreme yeteneği / </w:t>
      </w:r>
      <w:proofErr w:type="spellStart"/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Fertilite</w:t>
      </w:r>
      <w:proofErr w:type="spellEnd"/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Sıçanlarda ve tavşanlarda yapılan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embriyotoksisite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araştırmalannda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herhangi bir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teratojenik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potansiyel belirtisi ortaya çıkmamıştır.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Sefpodoksim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sıçanlarda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fertilite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araştırmala</w:t>
      </w:r>
      <w:r w:rsidR="007D4E43" w:rsidRPr="001156AA">
        <w:rPr>
          <w:rFonts w:ascii="Times New Roman" w:eastAsia="TimesNewRoman,Bold" w:hAnsi="Times New Roman" w:cs="Times New Roman"/>
          <w:bCs/>
          <w:sz w:val="24"/>
          <w:szCs w:val="24"/>
        </w:rPr>
        <w:t>rı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nda ve peri- ve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postnatal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araştırmalarda istenmeyen bir etki oluşturmamıştır. Sıçanlarda plasentadan geçtiği ve sütte aktif madde veya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metabolitlerinin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görüldüğü saptanmıştır. İnsanlarda gebelikte kullanımı ile ilgili deneyim bulunmamaktadır.</w:t>
      </w:r>
    </w:p>
    <w:p w:rsidR="007D4E43" w:rsidRPr="001156AA" w:rsidRDefault="007D4E43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4.7</w:t>
      </w:r>
      <w:r w:rsidR="00545921"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.</w:t>
      </w: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ab/>
        <w:t>Araç ve makine kullanımı üzerindeki etkiler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Sersemlik hissi nedeniyle araç ya da makinelerin kullanımı konusunda dikkatli olunmalıdır.</w:t>
      </w:r>
    </w:p>
    <w:p w:rsidR="007D4E43" w:rsidRPr="001156AA" w:rsidRDefault="007D4E43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4.8</w:t>
      </w:r>
      <w:r w:rsidR="00545921"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.</w:t>
      </w: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ab/>
        <w:t>İstenmeyen etkiler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Advers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ilaç </w:t>
      </w:r>
      <w:r w:rsidR="00920BC9" w:rsidRPr="001156AA">
        <w:rPr>
          <w:rFonts w:ascii="Times New Roman" w:eastAsia="TimesNewRoman,Bold" w:hAnsi="Times New Roman" w:cs="Times New Roman"/>
          <w:bCs/>
          <w:sz w:val="24"/>
          <w:szCs w:val="24"/>
        </w:rPr>
        <w:t>reaksiyonları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aşağıdaki sıklık derecesine göre belirtilmiştir:</w:t>
      </w:r>
    </w:p>
    <w:p w:rsidR="007D4E43" w:rsidRPr="001156AA" w:rsidRDefault="007D4E43" w:rsidP="007D4E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156AA">
        <w:rPr>
          <w:rFonts w:ascii="Times New Roman" w:hAnsi="Times New Roman"/>
          <w:sz w:val="24"/>
          <w:szCs w:val="24"/>
        </w:rPr>
        <w:t>Çok yaygın (≥1/10); yaygın (≥1/100, &lt;1/10); yaygın olmayan (≥1/1000, &lt;1/100); seyrek (≥1/10.000, &lt;1/1000); çok seyrek (&lt;1/10.000), bilinmiyor (eldeki verilerden hareketle tahmin edilemiyor).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Bağışıklık sistemi bozuklukları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Bilinmiyor: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anjiyoödem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,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bronkospazm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,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anafilaktik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şok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Deri ve deri altı doku bozuklukları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Yaygın olmayan: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Raş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, ürtiker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Bilinmiyor: Kıza</w:t>
      </w:r>
      <w:r w:rsidR="007D4E43" w:rsidRPr="001156AA">
        <w:rPr>
          <w:rFonts w:ascii="Times New Roman" w:eastAsia="TimesNewRoman,Bold" w:hAnsi="Times New Roman" w:cs="Times New Roman"/>
          <w:bCs/>
          <w:sz w:val="24"/>
          <w:szCs w:val="24"/>
        </w:rPr>
        <w:t>rı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klık, kaşıntı, ürtiker,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purpura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. Diğer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sefalosporinlerle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olduğu gibi, izole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büllöz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erüpsiyon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vakala</w:t>
      </w:r>
      <w:r w:rsidR="007D4E43" w:rsidRPr="001156AA">
        <w:rPr>
          <w:rFonts w:ascii="Times New Roman" w:eastAsia="TimesNewRoman,Bold" w:hAnsi="Times New Roman" w:cs="Times New Roman"/>
          <w:bCs/>
          <w:sz w:val="24"/>
          <w:szCs w:val="24"/>
        </w:rPr>
        <w:t>rı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(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eritema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multiforme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,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Stevens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-Johnson </w:t>
      </w:r>
      <w:proofErr w:type="gram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sendromu</w:t>
      </w:r>
      <w:proofErr w:type="gram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,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toksik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epidermal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nekroliz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) bildirilmiştir.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proofErr w:type="spellStart"/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Gastrointestinal</w:t>
      </w:r>
      <w:proofErr w:type="spellEnd"/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bozukluklar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Yaygın: Bulantı,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diyare</w:t>
      </w:r>
      <w:proofErr w:type="spellEnd"/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Yayg</w:t>
      </w:r>
      <w:r w:rsidR="007D4E43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ın olmayan: Kusma, </w:t>
      </w:r>
      <w:proofErr w:type="spellStart"/>
      <w:r w:rsidR="007D4E43" w:rsidRPr="001156AA">
        <w:rPr>
          <w:rFonts w:ascii="Times New Roman" w:eastAsia="TimesNewRoman,Bold" w:hAnsi="Times New Roman" w:cs="Times New Roman"/>
          <w:bCs/>
          <w:sz w:val="24"/>
          <w:szCs w:val="24"/>
        </w:rPr>
        <w:t>abdominal</w:t>
      </w:r>
      <w:proofErr w:type="spellEnd"/>
      <w:r w:rsidR="007D4E43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ağrı</w:t>
      </w:r>
    </w:p>
    <w:p w:rsidR="00456A9B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lastRenderedPageBreak/>
        <w:t xml:space="preserve">Seyrek: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Enterokolit</w:t>
      </w:r>
      <w:proofErr w:type="spellEnd"/>
    </w:p>
    <w:p w:rsidR="00666E19" w:rsidRPr="001156AA" w:rsidRDefault="007D4E43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Bili</w:t>
      </w:r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nmiyor: Bütün diğer geniş spektrumlu antibiyotiklerde olduğu gibi </w:t>
      </w:r>
      <w:proofErr w:type="spellStart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>diyare</w:t>
      </w:r>
      <w:proofErr w:type="spellEnd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, </w:t>
      </w:r>
      <w:proofErr w:type="spellStart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>enterokolit'in</w:t>
      </w:r>
      <w:proofErr w:type="spellEnd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bir </w:t>
      </w:r>
      <w:proofErr w:type="gramStart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>semptomu</w:t>
      </w:r>
      <w:proofErr w:type="gramEnd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olabilir ve bazen bu durumda dışkıda kan görülebilir. Antibiyotik kullanımında görülen tipik </w:t>
      </w:r>
      <w:proofErr w:type="spellStart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>enterokolit</w:t>
      </w:r>
      <w:proofErr w:type="spellEnd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>psödomembranöz</w:t>
      </w:r>
      <w:proofErr w:type="spellEnd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kolittir (Bkz. bölüm </w:t>
      </w:r>
      <w:proofErr w:type="gramStart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>4.4</w:t>
      </w:r>
      <w:proofErr w:type="gramEnd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>).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proofErr w:type="spellStart"/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Hepato</w:t>
      </w:r>
      <w:proofErr w:type="spellEnd"/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-</w:t>
      </w:r>
      <w:proofErr w:type="spellStart"/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biliyer</w:t>
      </w:r>
      <w:proofErr w:type="spellEnd"/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bozukluklar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Yayg</w:t>
      </w:r>
      <w:r w:rsidR="007D4E43" w:rsidRPr="001156AA">
        <w:rPr>
          <w:rFonts w:ascii="Times New Roman" w:eastAsia="TimesNewRoman,Bold" w:hAnsi="Times New Roman" w:cs="Times New Roman"/>
          <w:bCs/>
          <w:sz w:val="24"/>
          <w:szCs w:val="24"/>
        </w:rPr>
        <w:t>ın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olmayan: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Aspartat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aminotransferaz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artışı,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Alanin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transferaz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artışı, kan alkalin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fosfataz</w:t>
      </w:r>
      <w:proofErr w:type="spellEnd"/>
      <w:r w:rsidR="007D4E43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artışı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Seyrek: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Hiperbilirubinemi</w:t>
      </w:r>
      <w:proofErr w:type="spellEnd"/>
    </w:p>
    <w:p w:rsidR="00666E19" w:rsidRPr="001156AA" w:rsidRDefault="007D4E43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Bu anormal laboratuar bulguları</w:t>
      </w:r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gramStart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>enfeksiyonlar</w:t>
      </w:r>
      <w:proofErr w:type="gramEnd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nedeni ile de oluşabilir, normal üst sınır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limitinin 2 katını nadiren aşabilir. Genellikle, </w:t>
      </w:r>
      <w:proofErr w:type="spellStart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>kolestatik</w:t>
      </w:r>
      <w:proofErr w:type="spellEnd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veya daha sık </w:t>
      </w:r>
      <w:proofErr w:type="spellStart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>asemptomatik</w:t>
      </w:r>
      <w:proofErr w:type="spellEnd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olarak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görülen karaciğer </w:t>
      </w:r>
      <w:proofErr w:type="spellStart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>harabiyeti</w:t>
      </w:r>
      <w:proofErr w:type="spellEnd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tablosunu sergiler.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Kan ve lenfatik sistem bozuklukları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Seyrek: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Eozinofili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,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trombositopeni</w:t>
      </w:r>
      <w:proofErr w:type="spellEnd"/>
    </w:p>
    <w:p w:rsidR="00920BC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Bilinmiyor: </w:t>
      </w:r>
      <w:proofErr w:type="spellStart"/>
      <w:proofErr w:type="gram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Nötropeni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,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agranülositoz</w:t>
      </w:r>
      <w:proofErr w:type="spellEnd"/>
      <w:proofErr w:type="gram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,  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hemolitik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anemi 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Bu nadir olaylar tedavi kesilince</w:t>
      </w:r>
      <w:r w:rsidR="00920BC9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normale döner.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Böbrek ve </w:t>
      </w:r>
      <w:proofErr w:type="spellStart"/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üriner</w:t>
      </w:r>
      <w:proofErr w:type="spellEnd"/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bozukluklar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Sefpodoksimin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de </w:t>
      </w:r>
      <w:proofErr w:type="gram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dahil</w:t>
      </w:r>
      <w:proofErr w:type="gram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olduğu antibiyotik grubu ile, özellikle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aminoglikozidler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ve/veya güçlü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diüretiklerle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birhkte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kullanıldıklannda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, böbrek fonksiyon değişiklikleri gözlenmiştir.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Sinir sistemi bozuklukları</w:t>
      </w:r>
    </w:p>
    <w:p w:rsidR="007D4E43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Yayg</w:t>
      </w:r>
      <w:r w:rsidR="007D4E43" w:rsidRPr="001156AA">
        <w:rPr>
          <w:rFonts w:ascii="Times New Roman" w:eastAsia="TimesNewRoman,Bold" w:hAnsi="Times New Roman" w:cs="Times New Roman"/>
          <w:bCs/>
          <w:sz w:val="24"/>
          <w:szCs w:val="24"/>
        </w:rPr>
        <w:t>ın olmayan: Baş ağrı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sı, sersemlik 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Seyrek: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Parestezi</w:t>
      </w:r>
      <w:proofErr w:type="spellEnd"/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Kulak ve </w:t>
      </w:r>
      <w:proofErr w:type="gramStart"/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labirent</w:t>
      </w:r>
      <w:proofErr w:type="gramEnd"/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bozuklukları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Bilinmiyor: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Tinnitus</w:t>
      </w:r>
      <w:proofErr w:type="spellEnd"/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Genel bozukluklar ve uygulama yeri bozukları</w:t>
      </w:r>
    </w:p>
    <w:p w:rsidR="007D4E43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Yaygın olmayan: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Asteni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Seyrek: Keyifsizlik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Enfeksiyonlar ve </w:t>
      </w:r>
      <w:proofErr w:type="spellStart"/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enfestasyonlar</w:t>
      </w:r>
      <w:proofErr w:type="spellEnd"/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Yayg</w:t>
      </w:r>
      <w:r w:rsidR="007D4E43" w:rsidRPr="001156AA">
        <w:rPr>
          <w:rFonts w:ascii="Times New Roman" w:eastAsia="TimesNewRoman,Bold" w:hAnsi="Times New Roman" w:cs="Times New Roman"/>
          <w:bCs/>
          <w:sz w:val="24"/>
          <w:szCs w:val="24"/>
        </w:rPr>
        <w:t>ın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: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Süperenfeksiyon</w:t>
      </w:r>
      <w:proofErr w:type="spellEnd"/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Bilinmiyor: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Psödomembaronöz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kol</w:t>
      </w:r>
      <w:r w:rsidR="00920BC9" w:rsidRPr="001156AA">
        <w:rPr>
          <w:rFonts w:ascii="Times New Roman" w:eastAsia="TimesNewRoman,Bold" w:hAnsi="Times New Roman" w:cs="Times New Roman"/>
          <w:bCs/>
          <w:sz w:val="24"/>
          <w:szCs w:val="24"/>
        </w:rPr>
        <w:t>it, duyarlı olmayan organizmaları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n </w:t>
      </w:r>
      <w:r w:rsidR="00620BF6" w:rsidRPr="001156AA">
        <w:rPr>
          <w:rFonts w:ascii="Times New Roman" w:eastAsia="TimesNewRoman,Bold" w:hAnsi="Times New Roman" w:cs="Times New Roman"/>
          <w:bCs/>
          <w:sz w:val="24"/>
          <w:szCs w:val="24"/>
        </w:rPr>
        <w:t>aşırı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büyümesi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Diğer antibiyotiklerle olduğu gibi,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sefpodoksim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proksetil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kullanımı, özellikle uzun süreli ise,</w:t>
      </w:r>
      <w:r w:rsidR="007D4E43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duyarlı olmayan mikroorganizmala</w:t>
      </w:r>
      <w:r w:rsidR="007D4E43" w:rsidRPr="001156AA">
        <w:rPr>
          <w:rFonts w:ascii="Times New Roman" w:eastAsia="TimesNewRoman,Bold" w:hAnsi="Times New Roman" w:cs="Times New Roman"/>
          <w:bCs/>
          <w:sz w:val="24"/>
          <w:szCs w:val="24"/>
        </w:rPr>
        <w:t>rı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n </w:t>
      </w:r>
      <w:r w:rsidR="00620BF6" w:rsidRPr="001156AA">
        <w:rPr>
          <w:rFonts w:ascii="Times New Roman" w:eastAsia="TimesNewRoman,Bold" w:hAnsi="Times New Roman" w:cs="Times New Roman"/>
          <w:bCs/>
          <w:sz w:val="24"/>
          <w:szCs w:val="24"/>
        </w:rPr>
        <w:t>aşırı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üremesine yol açabilir. Hastanın durumunun</w:t>
      </w:r>
      <w:r w:rsidR="007D4E43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tekrar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tekrar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değerlendirilmesi gerekir. Tedavi sırasında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süperenfeksiyon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ortaya çıkarsa,</w:t>
      </w:r>
      <w:r w:rsidR="007D4E43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uygun önlemler a</w:t>
      </w:r>
      <w:r w:rsidR="007D4E43" w:rsidRPr="001156AA">
        <w:rPr>
          <w:rFonts w:ascii="Times New Roman" w:eastAsia="TimesNewRoman,Bold" w:hAnsi="Times New Roman" w:cs="Times New Roman"/>
          <w:bCs/>
          <w:sz w:val="24"/>
          <w:szCs w:val="24"/>
        </w:rPr>
        <w:t>lınmalı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dır.</w:t>
      </w:r>
    </w:p>
    <w:p w:rsidR="007D4E43" w:rsidRPr="001156AA" w:rsidRDefault="007D4E43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4A630D" w:rsidRPr="001156AA" w:rsidRDefault="004A630D" w:rsidP="004A630D">
      <w:p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eastAsia="nl-NL"/>
        </w:rPr>
      </w:pPr>
      <w:r w:rsidRPr="001156AA">
        <w:rPr>
          <w:rFonts w:ascii="Times New Roman" w:hAnsi="Times New Roman" w:hint="eastAsia"/>
          <w:sz w:val="24"/>
          <w:szCs w:val="24"/>
          <w:u w:val="single"/>
          <w:lang w:eastAsia="nl-NL"/>
        </w:rPr>
        <w:lastRenderedPageBreak/>
        <w:t>Ş</w:t>
      </w:r>
      <w:r w:rsidRPr="001156AA">
        <w:rPr>
          <w:rFonts w:ascii="Times New Roman" w:hAnsi="Times New Roman"/>
          <w:sz w:val="24"/>
          <w:szCs w:val="24"/>
          <w:u w:val="single"/>
          <w:lang w:eastAsia="nl-NL"/>
        </w:rPr>
        <w:t xml:space="preserve">üpheli </w:t>
      </w:r>
      <w:proofErr w:type="spellStart"/>
      <w:r w:rsidRPr="001156AA">
        <w:rPr>
          <w:rFonts w:ascii="Times New Roman" w:hAnsi="Times New Roman"/>
          <w:sz w:val="24"/>
          <w:szCs w:val="24"/>
          <w:u w:val="single"/>
          <w:lang w:eastAsia="nl-NL"/>
        </w:rPr>
        <w:t>advers</w:t>
      </w:r>
      <w:proofErr w:type="spellEnd"/>
      <w:r w:rsidRPr="001156AA">
        <w:rPr>
          <w:rFonts w:ascii="Times New Roman" w:hAnsi="Times New Roman"/>
          <w:sz w:val="24"/>
          <w:szCs w:val="24"/>
          <w:u w:val="single"/>
          <w:lang w:eastAsia="nl-NL"/>
        </w:rPr>
        <w:t xml:space="preserve"> reaksiyonlar</w:t>
      </w:r>
      <w:r w:rsidRPr="001156AA">
        <w:rPr>
          <w:rFonts w:ascii="Times New Roman" w:hAnsi="Times New Roman" w:hint="eastAsia"/>
          <w:sz w:val="24"/>
          <w:szCs w:val="24"/>
          <w:u w:val="single"/>
          <w:lang w:eastAsia="nl-NL"/>
        </w:rPr>
        <w:t>ı</w:t>
      </w:r>
      <w:r w:rsidRPr="001156AA">
        <w:rPr>
          <w:rFonts w:ascii="Times New Roman" w:hAnsi="Times New Roman"/>
          <w:sz w:val="24"/>
          <w:szCs w:val="24"/>
          <w:u w:val="single"/>
          <w:lang w:eastAsia="nl-NL"/>
        </w:rPr>
        <w:t>n raporlanmas</w:t>
      </w:r>
      <w:r w:rsidRPr="001156AA">
        <w:rPr>
          <w:rFonts w:ascii="Times New Roman" w:hAnsi="Times New Roman" w:hint="eastAsia"/>
          <w:sz w:val="24"/>
          <w:szCs w:val="24"/>
          <w:u w:val="single"/>
          <w:lang w:eastAsia="nl-NL"/>
        </w:rPr>
        <w:t>ı</w:t>
      </w:r>
    </w:p>
    <w:p w:rsidR="004A630D" w:rsidRPr="001156AA" w:rsidRDefault="004A630D" w:rsidP="004A630D">
      <w:p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nl-NL"/>
        </w:rPr>
      </w:pPr>
      <w:r w:rsidRPr="001156AA">
        <w:rPr>
          <w:rFonts w:ascii="Times New Roman" w:hAnsi="Times New Roman"/>
          <w:sz w:val="24"/>
          <w:szCs w:val="24"/>
          <w:lang w:eastAsia="nl-NL"/>
        </w:rPr>
        <w:t>Ruhsatland</w:t>
      </w:r>
      <w:r w:rsidRPr="001156AA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1156AA">
        <w:rPr>
          <w:rFonts w:ascii="Times New Roman" w:hAnsi="Times New Roman"/>
          <w:sz w:val="24"/>
          <w:szCs w:val="24"/>
          <w:lang w:eastAsia="nl-NL"/>
        </w:rPr>
        <w:t>rma sonras</w:t>
      </w:r>
      <w:r w:rsidRPr="001156AA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1156AA">
        <w:rPr>
          <w:rFonts w:ascii="Times New Roman" w:hAnsi="Times New Roman"/>
          <w:sz w:val="24"/>
          <w:szCs w:val="24"/>
          <w:lang w:eastAsia="nl-NL"/>
        </w:rPr>
        <w:t xml:space="preserve"> </w:t>
      </w:r>
      <w:r w:rsidRPr="001156AA">
        <w:rPr>
          <w:rFonts w:ascii="Times New Roman" w:hAnsi="Times New Roman" w:hint="eastAsia"/>
          <w:sz w:val="24"/>
          <w:szCs w:val="24"/>
          <w:lang w:eastAsia="nl-NL"/>
        </w:rPr>
        <w:t>ş</w:t>
      </w:r>
      <w:r w:rsidRPr="001156AA">
        <w:rPr>
          <w:rFonts w:ascii="Times New Roman" w:hAnsi="Times New Roman"/>
          <w:sz w:val="24"/>
          <w:szCs w:val="24"/>
          <w:lang w:eastAsia="nl-NL"/>
        </w:rPr>
        <w:t xml:space="preserve">üpheli ilaç </w:t>
      </w:r>
      <w:proofErr w:type="spellStart"/>
      <w:r w:rsidRPr="001156AA">
        <w:rPr>
          <w:rFonts w:ascii="Times New Roman" w:hAnsi="Times New Roman"/>
          <w:sz w:val="24"/>
          <w:szCs w:val="24"/>
          <w:lang w:eastAsia="nl-NL"/>
        </w:rPr>
        <w:t>advers</w:t>
      </w:r>
      <w:proofErr w:type="spellEnd"/>
      <w:r w:rsidRPr="001156AA">
        <w:rPr>
          <w:rFonts w:ascii="Times New Roman" w:hAnsi="Times New Roman"/>
          <w:sz w:val="24"/>
          <w:szCs w:val="24"/>
          <w:lang w:eastAsia="nl-NL"/>
        </w:rPr>
        <w:t xml:space="preserve"> reaksiyonlar</w:t>
      </w:r>
      <w:r w:rsidRPr="001156AA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1156AA">
        <w:rPr>
          <w:rFonts w:ascii="Times New Roman" w:hAnsi="Times New Roman"/>
          <w:sz w:val="24"/>
          <w:szCs w:val="24"/>
          <w:lang w:eastAsia="nl-NL"/>
        </w:rPr>
        <w:t>n</w:t>
      </w:r>
      <w:r w:rsidRPr="001156AA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1156AA">
        <w:rPr>
          <w:rFonts w:ascii="Times New Roman" w:hAnsi="Times New Roman"/>
          <w:sz w:val="24"/>
          <w:szCs w:val="24"/>
          <w:lang w:eastAsia="nl-NL"/>
        </w:rPr>
        <w:t>n raporlanmas</w:t>
      </w:r>
      <w:r w:rsidRPr="001156AA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1156AA">
        <w:rPr>
          <w:rFonts w:ascii="Times New Roman" w:hAnsi="Times New Roman"/>
          <w:sz w:val="24"/>
          <w:szCs w:val="24"/>
          <w:lang w:eastAsia="nl-NL"/>
        </w:rPr>
        <w:t xml:space="preserve"> büyük önem ta</w:t>
      </w:r>
      <w:r w:rsidRPr="001156AA">
        <w:rPr>
          <w:rFonts w:ascii="Times New Roman" w:hAnsi="Times New Roman" w:hint="eastAsia"/>
          <w:sz w:val="24"/>
          <w:szCs w:val="24"/>
          <w:lang w:eastAsia="nl-NL"/>
        </w:rPr>
        <w:t>şı</w:t>
      </w:r>
      <w:r w:rsidRPr="001156AA">
        <w:rPr>
          <w:rFonts w:ascii="Times New Roman" w:hAnsi="Times New Roman"/>
          <w:sz w:val="24"/>
          <w:szCs w:val="24"/>
          <w:lang w:eastAsia="nl-NL"/>
        </w:rPr>
        <w:t>maktad</w:t>
      </w:r>
      <w:r w:rsidRPr="001156AA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1156AA">
        <w:rPr>
          <w:rFonts w:ascii="Times New Roman" w:hAnsi="Times New Roman"/>
          <w:sz w:val="24"/>
          <w:szCs w:val="24"/>
          <w:lang w:eastAsia="nl-NL"/>
        </w:rPr>
        <w:t>r. Raporlama yap</w:t>
      </w:r>
      <w:r w:rsidRPr="001156AA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1156AA">
        <w:rPr>
          <w:rFonts w:ascii="Times New Roman" w:hAnsi="Times New Roman"/>
          <w:sz w:val="24"/>
          <w:szCs w:val="24"/>
          <w:lang w:eastAsia="nl-NL"/>
        </w:rPr>
        <w:t>lmas</w:t>
      </w:r>
      <w:r w:rsidRPr="001156AA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1156AA">
        <w:rPr>
          <w:rFonts w:ascii="Times New Roman" w:hAnsi="Times New Roman"/>
          <w:sz w:val="24"/>
          <w:szCs w:val="24"/>
          <w:lang w:eastAsia="nl-NL"/>
        </w:rPr>
        <w:t>, ilac</w:t>
      </w:r>
      <w:r w:rsidRPr="001156AA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1156AA">
        <w:rPr>
          <w:rFonts w:ascii="Times New Roman" w:hAnsi="Times New Roman"/>
          <w:sz w:val="24"/>
          <w:szCs w:val="24"/>
          <w:lang w:eastAsia="nl-NL"/>
        </w:rPr>
        <w:t>n yarar/risk dengesinin sürekli olarak izlenmesine olanak sa</w:t>
      </w:r>
      <w:r w:rsidRPr="001156AA">
        <w:rPr>
          <w:rFonts w:ascii="Times New Roman" w:hAnsi="Times New Roman" w:hint="eastAsia"/>
          <w:sz w:val="24"/>
          <w:szCs w:val="24"/>
          <w:lang w:eastAsia="nl-NL"/>
        </w:rPr>
        <w:t>ğ</w:t>
      </w:r>
      <w:r w:rsidRPr="001156AA">
        <w:rPr>
          <w:rFonts w:ascii="Times New Roman" w:hAnsi="Times New Roman"/>
          <w:sz w:val="24"/>
          <w:szCs w:val="24"/>
          <w:lang w:eastAsia="nl-NL"/>
        </w:rPr>
        <w:t>lar. Sa</w:t>
      </w:r>
      <w:r w:rsidRPr="001156AA">
        <w:rPr>
          <w:rFonts w:ascii="Times New Roman" w:hAnsi="Times New Roman" w:hint="eastAsia"/>
          <w:sz w:val="24"/>
          <w:szCs w:val="24"/>
          <w:lang w:eastAsia="nl-NL"/>
        </w:rPr>
        <w:t>ğ</w:t>
      </w:r>
      <w:r w:rsidRPr="001156AA">
        <w:rPr>
          <w:rFonts w:ascii="Times New Roman" w:hAnsi="Times New Roman"/>
          <w:sz w:val="24"/>
          <w:szCs w:val="24"/>
          <w:lang w:eastAsia="nl-NL"/>
        </w:rPr>
        <w:t>l</w:t>
      </w:r>
      <w:r w:rsidRPr="001156AA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1156AA">
        <w:rPr>
          <w:rFonts w:ascii="Times New Roman" w:hAnsi="Times New Roman"/>
          <w:sz w:val="24"/>
          <w:szCs w:val="24"/>
          <w:lang w:eastAsia="nl-NL"/>
        </w:rPr>
        <w:t>k mesle</w:t>
      </w:r>
      <w:r w:rsidRPr="001156AA">
        <w:rPr>
          <w:rFonts w:ascii="Times New Roman" w:hAnsi="Times New Roman" w:hint="eastAsia"/>
          <w:sz w:val="24"/>
          <w:szCs w:val="24"/>
          <w:lang w:eastAsia="nl-NL"/>
        </w:rPr>
        <w:t>ğ</w:t>
      </w:r>
      <w:r w:rsidRPr="001156AA">
        <w:rPr>
          <w:rFonts w:ascii="Times New Roman" w:hAnsi="Times New Roman"/>
          <w:sz w:val="24"/>
          <w:szCs w:val="24"/>
          <w:lang w:eastAsia="nl-NL"/>
        </w:rPr>
        <w:t>i mensuplar</w:t>
      </w:r>
      <w:r w:rsidRPr="001156AA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1156AA">
        <w:rPr>
          <w:rFonts w:ascii="Times New Roman" w:hAnsi="Times New Roman"/>
          <w:sz w:val="24"/>
          <w:szCs w:val="24"/>
          <w:lang w:eastAsia="nl-NL"/>
        </w:rPr>
        <w:t>n</w:t>
      </w:r>
      <w:r w:rsidRPr="001156AA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1156AA">
        <w:rPr>
          <w:rFonts w:ascii="Times New Roman" w:hAnsi="Times New Roman"/>
          <w:sz w:val="24"/>
          <w:szCs w:val="24"/>
          <w:lang w:eastAsia="nl-NL"/>
        </w:rPr>
        <w:t xml:space="preserve">n herhangi bir </w:t>
      </w:r>
      <w:r w:rsidRPr="001156AA">
        <w:rPr>
          <w:rFonts w:ascii="Times New Roman" w:hAnsi="Times New Roman" w:hint="eastAsia"/>
          <w:sz w:val="24"/>
          <w:szCs w:val="24"/>
          <w:lang w:eastAsia="nl-NL"/>
        </w:rPr>
        <w:t>şü</w:t>
      </w:r>
      <w:r w:rsidRPr="001156AA">
        <w:rPr>
          <w:rFonts w:ascii="Times New Roman" w:hAnsi="Times New Roman"/>
          <w:sz w:val="24"/>
          <w:szCs w:val="24"/>
          <w:lang w:eastAsia="nl-NL"/>
        </w:rPr>
        <w:t xml:space="preserve">pheli </w:t>
      </w:r>
      <w:proofErr w:type="spellStart"/>
      <w:r w:rsidRPr="001156AA">
        <w:rPr>
          <w:rFonts w:ascii="Times New Roman" w:hAnsi="Times New Roman"/>
          <w:sz w:val="24"/>
          <w:szCs w:val="24"/>
          <w:lang w:eastAsia="nl-NL"/>
        </w:rPr>
        <w:t>advers</w:t>
      </w:r>
      <w:proofErr w:type="spellEnd"/>
      <w:r w:rsidRPr="001156AA">
        <w:rPr>
          <w:rFonts w:ascii="Times New Roman" w:hAnsi="Times New Roman"/>
          <w:sz w:val="24"/>
          <w:szCs w:val="24"/>
          <w:lang w:eastAsia="nl-NL"/>
        </w:rPr>
        <w:t xml:space="preserve"> reaksiyonu Türkiye </w:t>
      </w:r>
      <w:proofErr w:type="spellStart"/>
      <w:r w:rsidRPr="001156AA">
        <w:rPr>
          <w:rFonts w:ascii="Times New Roman" w:hAnsi="Times New Roman"/>
          <w:sz w:val="24"/>
          <w:szCs w:val="24"/>
          <w:lang w:eastAsia="nl-NL"/>
        </w:rPr>
        <w:t>Farmakovijilans</w:t>
      </w:r>
      <w:proofErr w:type="spellEnd"/>
      <w:r w:rsidRPr="001156AA">
        <w:rPr>
          <w:rFonts w:ascii="Times New Roman" w:hAnsi="Times New Roman"/>
          <w:sz w:val="24"/>
          <w:szCs w:val="24"/>
          <w:lang w:eastAsia="nl-NL"/>
        </w:rPr>
        <w:t xml:space="preserve"> Merkezi (TÜFAM)'ne bildirmeleri gerekmektedir. (</w:t>
      </w:r>
      <w:r w:rsidRPr="001156AA">
        <w:rPr>
          <w:rFonts w:ascii="Times New Roman" w:hAnsi="Times New Roman"/>
          <w:sz w:val="24"/>
          <w:szCs w:val="24"/>
          <w:u w:val="single"/>
          <w:lang w:eastAsia="nl-NL"/>
        </w:rPr>
        <w:t>www.</w:t>
      </w:r>
      <w:proofErr w:type="spellStart"/>
      <w:r w:rsidRPr="001156AA">
        <w:rPr>
          <w:rFonts w:ascii="Times New Roman" w:hAnsi="Times New Roman"/>
          <w:sz w:val="24"/>
          <w:szCs w:val="24"/>
          <w:u w:val="single"/>
          <w:lang w:eastAsia="nl-NL"/>
        </w:rPr>
        <w:t>titck</w:t>
      </w:r>
      <w:proofErr w:type="spellEnd"/>
      <w:r w:rsidRPr="001156AA">
        <w:rPr>
          <w:rFonts w:ascii="Times New Roman" w:hAnsi="Times New Roman"/>
          <w:sz w:val="24"/>
          <w:szCs w:val="24"/>
          <w:u w:val="single"/>
          <w:lang w:eastAsia="nl-NL"/>
        </w:rPr>
        <w:t>.gov.tr</w:t>
      </w:r>
      <w:r w:rsidRPr="001156AA">
        <w:rPr>
          <w:rFonts w:ascii="Times New Roman" w:hAnsi="Times New Roman"/>
          <w:sz w:val="24"/>
          <w:szCs w:val="24"/>
          <w:lang w:eastAsia="nl-NL"/>
        </w:rPr>
        <w:t xml:space="preserve">;          e-posta: </w:t>
      </w:r>
      <w:proofErr w:type="spellStart"/>
      <w:r w:rsidRPr="001156AA">
        <w:rPr>
          <w:rFonts w:ascii="Times New Roman" w:hAnsi="Times New Roman"/>
          <w:sz w:val="24"/>
          <w:szCs w:val="24"/>
          <w:u w:val="single"/>
          <w:lang w:eastAsia="nl-NL"/>
        </w:rPr>
        <w:t>tufam</w:t>
      </w:r>
      <w:proofErr w:type="spellEnd"/>
      <w:r w:rsidRPr="001156AA">
        <w:rPr>
          <w:rFonts w:ascii="Times New Roman" w:hAnsi="Times New Roman"/>
          <w:sz w:val="24"/>
          <w:szCs w:val="24"/>
          <w:u w:val="single"/>
          <w:lang w:eastAsia="nl-NL"/>
        </w:rPr>
        <w:t>@</w:t>
      </w:r>
      <w:proofErr w:type="spellStart"/>
      <w:r w:rsidRPr="001156AA">
        <w:rPr>
          <w:rFonts w:ascii="Times New Roman" w:hAnsi="Times New Roman"/>
          <w:sz w:val="24"/>
          <w:szCs w:val="24"/>
          <w:u w:val="single"/>
          <w:lang w:eastAsia="nl-NL"/>
        </w:rPr>
        <w:t>titck</w:t>
      </w:r>
      <w:proofErr w:type="spellEnd"/>
      <w:r w:rsidRPr="001156AA">
        <w:rPr>
          <w:rFonts w:ascii="Times New Roman" w:hAnsi="Times New Roman"/>
          <w:sz w:val="24"/>
          <w:szCs w:val="24"/>
          <w:u w:val="single"/>
          <w:lang w:eastAsia="nl-NL"/>
        </w:rPr>
        <w:t>.gov.tr</w:t>
      </w:r>
      <w:r w:rsidRPr="001156AA">
        <w:rPr>
          <w:rFonts w:ascii="Times New Roman" w:hAnsi="Times New Roman"/>
          <w:sz w:val="24"/>
          <w:szCs w:val="24"/>
          <w:lang w:eastAsia="nl-NL"/>
        </w:rPr>
        <w:t>; tel: 0 800 314 00 08; faks: 0 312 218 35 99)</w:t>
      </w:r>
    </w:p>
    <w:p w:rsidR="003E7C2C" w:rsidRPr="001156AA" w:rsidRDefault="003E7C2C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666E19" w:rsidRPr="001156AA" w:rsidRDefault="003F138F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4.9</w:t>
      </w:r>
      <w:r w:rsidR="00545921"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.</w:t>
      </w: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ab/>
      </w:r>
      <w:r w:rsidR="00666E19"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Doz aşımı ve tedavisi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Spesifik bir antidotu bulunmadığından doz aşımı durumunda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semptomatik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tedavi </w:t>
      </w:r>
      <w:r w:rsidR="007D4E43" w:rsidRPr="001156AA">
        <w:rPr>
          <w:rFonts w:ascii="Times New Roman" w:eastAsia="TimesNewRoman,Bold" w:hAnsi="Times New Roman" w:cs="Times New Roman"/>
          <w:bCs/>
          <w:sz w:val="24"/>
          <w:szCs w:val="24"/>
        </w:rPr>
        <w:t>uygulanmalı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dır. Bazı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sefalosporinlerde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, esas olarak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enjektabl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olanlarda, özellikle böbrek yetmezliği olan hastalarda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dozaşımında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reversibl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ensefalopati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riski bildirilmiştir.</w:t>
      </w:r>
    </w:p>
    <w:p w:rsidR="007D4E43" w:rsidRPr="001156AA" w:rsidRDefault="007D4E43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7D4E43" w:rsidRPr="001156AA" w:rsidRDefault="003F138F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5.</w:t>
      </w: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ab/>
      </w:r>
      <w:r w:rsidR="00666E19"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FARMAKOLOJİK ÖZELLİKLER </w:t>
      </w:r>
    </w:p>
    <w:p w:rsidR="00666E19" w:rsidRPr="001156AA" w:rsidRDefault="003F138F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5.1</w:t>
      </w:r>
      <w:r w:rsidR="00545921"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.</w:t>
      </w: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ab/>
      </w:r>
      <w:r w:rsidR="00666E19"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Farmakodinamik özellikler</w:t>
      </w:r>
    </w:p>
    <w:p w:rsidR="007D4E43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Farmakoterapötik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grup: Üçüncü kuşak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sefalosporinler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ATC Kodu: J01D</w:t>
      </w:r>
      <w:r w:rsidR="004E10BE" w:rsidRPr="001156AA">
        <w:rPr>
          <w:rFonts w:ascii="Times New Roman" w:eastAsia="TimesNewRoman,Bold" w:hAnsi="Times New Roman" w:cs="Times New Roman"/>
          <w:bCs/>
          <w:sz w:val="24"/>
          <w:szCs w:val="24"/>
        </w:rPr>
        <w:t>D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13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Sefpodoksim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proksetil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oral olarak uygulanan geniş spektrumlu, ya</w:t>
      </w:r>
      <w:r w:rsidR="007D4E43" w:rsidRPr="001156AA">
        <w:rPr>
          <w:rFonts w:ascii="Times New Roman" w:eastAsia="TimesNewRoman,Bold" w:hAnsi="Times New Roman" w:cs="Times New Roman"/>
          <w:bCs/>
          <w:sz w:val="24"/>
          <w:szCs w:val="24"/>
        </w:rPr>
        <w:t>rı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-sentetik üçüncü kuşak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sefalosporin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sınıfı bir antibiyotiktir.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Sefpodoksim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proksetil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bir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prodrug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olup aktif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metaboliti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sefpodoksimdir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.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Sefpodoksim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birçok gram (+) ve gram (-) bakteriye karşı </w:t>
      </w:r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in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vitro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etkilidir.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Sefpodoksim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hücre duva</w:t>
      </w:r>
      <w:r w:rsidR="007D4E43" w:rsidRPr="001156AA">
        <w:rPr>
          <w:rFonts w:ascii="Times New Roman" w:eastAsia="TimesNewRoman,Bold" w:hAnsi="Times New Roman" w:cs="Times New Roman"/>
          <w:bCs/>
          <w:sz w:val="24"/>
          <w:szCs w:val="24"/>
        </w:rPr>
        <w:t>rı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sentezinin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inhibisyonu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yoluyla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bakterisid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etki gösterir; beta-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laktamazlara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karşı oldukça dayanıklıdır.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Aşağıdaki mikroorganizmalar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sefpodoksime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karşı genellikle duyarlıdır:</w:t>
      </w:r>
    </w:p>
    <w:p w:rsidR="00920BC9" w:rsidRPr="001156AA" w:rsidRDefault="00920BC9" w:rsidP="00920B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i/>
          <w:sz w:val="24"/>
          <w:szCs w:val="24"/>
        </w:rPr>
      </w:pP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Streptococcus</w:t>
      </w:r>
      <w:proofErr w:type="spellEnd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pneumoniae</w:t>
      </w:r>
      <w:proofErr w:type="spellEnd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Streptococcus</w:t>
      </w:r>
      <w:proofErr w:type="spellEnd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spp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.</w:t>
      </w:r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(S.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pneumoniae</w:t>
      </w:r>
      <w:proofErr w:type="spellEnd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dışında),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Propionibacterium</w:t>
      </w:r>
      <w:proofErr w:type="spellEnd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acnes</w:t>
      </w:r>
      <w:proofErr w:type="spellEnd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Corynebacterium</w:t>
      </w:r>
      <w:proofErr w:type="spellEnd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diphteriae</w:t>
      </w:r>
      <w:proofErr w:type="spellEnd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Haemophilus</w:t>
      </w:r>
      <w:proofErr w:type="spellEnd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influenzae</w:t>
      </w:r>
      <w:proofErr w:type="spellEnd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(beta-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laktamaz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oluşturan ve oluşturmayan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suşlar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),</w:t>
      </w:r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Haemophilus</w:t>
      </w:r>
      <w:proofErr w:type="spellEnd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parainfluenzae</w:t>
      </w:r>
      <w:proofErr w:type="spellEnd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(beta-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laktamaz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oluşturan ve oluşturmayan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suşlar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),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Mor</w:t>
      </w:r>
      <w:r w:rsidR="00967951"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axella</w:t>
      </w:r>
      <w:proofErr w:type="spellEnd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(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Branhamella</w:t>
      </w:r>
      <w:proofErr w:type="spellEnd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)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catarrhalis</w:t>
      </w:r>
      <w:proofErr w:type="spellEnd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(beta-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laktamaz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oluşturan ve oluşturmayan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suşlar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),</w:t>
      </w:r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Neisseria</w:t>
      </w:r>
      <w:proofErr w:type="spellEnd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meningitidis</w:t>
      </w:r>
      <w:proofErr w:type="spellEnd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Neisseria</w:t>
      </w:r>
      <w:proofErr w:type="spellEnd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gonorrhoeae</w:t>
      </w:r>
      <w:proofErr w:type="spellEnd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(beta-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laktamaz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oluşturan ve oluşturmayan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suşlar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)</w:t>
      </w:r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Escherichia</w:t>
      </w:r>
      <w:proofErr w:type="spellEnd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coli</w:t>
      </w:r>
      <w:proofErr w:type="spellEnd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Klebsiella</w:t>
      </w:r>
      <w:proofErr w:type="spellEnd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pneumoniae</w:t>
      </w:r>
      <w:proofErr w:type="spellEnd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Klebsiella</w:t>
      </w:r>
      <w:proofErr w:type="spellEnd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oxytoca</w:t>
      </w:r>
      <w:proofErr w:type="spellEnd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Proteus</w:t>
      </w:r>
      <w:proofErr w:type="spellEnd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mirabilis</w:t>
      </w:r>
      <w:proofErr w:type="spellEnd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Proteus</w:t>
      </w:r>
      <w:proofErr w:type="spellEnd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vulgaris</w:t>
      </w:r>
      <w:proofErr w:type="spellEnd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Citrobacter</w:t>
      </w:r>
      <w:proofErr w:type="spellEnd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diversus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,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Salmonella</w:t>
      </w:r>
      <w:proofErr w:type="spellEnd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spp</w:t>
      </w:r>
      <w:proofErr w:type="spellEnd"/>
      <w:proofErr w:type="gram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.,</w:t>
      </w:r>
      <w:proofErr w:type="gram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Providencia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spp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.,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Shigella</w:t>
      </w:r>
      <w:proofErr w:type="spellEnd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spp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.,</w:t>
      </w:r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Pasteurella</w:t>
      </w:r>
      <w:proofErr w:type="spellEnd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multocida</w:t>
      </w:r>
      <w:proofErr w:type="spellEnd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Fusobacterium</w:t>
      </w:r>
      <w:proofErr w:type="spellEnd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.</w:t>
      </w:r>
    </w:p>
    <w:p w:rsidR="00920BC9" w:rsidRPr="001156AA" w:rsidRDefault="00920BC9" w:rsidP="00920B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Aşağıdaki bakteriler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sefpodoksime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orta derecede duyarlıdır:</w:t>
      </w:r>
    </w:p>
    <w:p w:rsidR="00920BC9" w:rsidRPr="001156AA" w:rsidRDefault="00920BC9" w:rsidP="00920B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Metisiline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duyarlı stafilokoklar,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Yersinia</w:t>
      </w:r>
      <w:proofErr w:type="spellEnd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enterocolitica</w:t>
      </w:r>
      <w:proofErr w:type="spellEnd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Aeromonas</w:t>
      </w:r>
      <w:proofErr w:type="spellEnd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hydrophila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.</w:t>
      </w:r>
    </w:p>
    <w:p w:rsidR="00920BC9" w:rsidRPr="001156AA" w:rsidRDefault="00920BC9" w:rsidP="00920B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Aşağıdaki bakteriler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sefpodoksime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dirençlidir:</w:t>
      </w:r>
    </w:p>
    <w:p w:rsidR="00920BC9" w:rsidRPr="001156AA" w:rsidRDefault="00920BC9" w:rsidP="00920B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lastRenderedPageBreak/>
        <w:t>Enterobacter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spp</w:t>
      </w:r>
      <w:proofErr w:type="spellEnd"/>
      <w:proofErr w:type="gram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.,</w:t>
      </w:r>
      <w:proofErr w:type="gram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Morganella</w:t>
      </w:r>
      <w:proofErr w:type="spellEnd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morganii</w:t>
      </w:r>
      <w:proofErr w:type="spellEnd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Serratia</w:t>
      </w:r>
      <w:proofErr w:type="spellEnd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marcescens</w:t>
      </w:r>
      <w:proofErr w:type="spellEnd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Citrobacter</w:t>
      </w:r>
      <w:proofErr w:type="spellEnd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freundii</w:t>
      </w:r>
      <w:proofErr w:type="spellEnd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,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Acinetobacter</w:t>
      </w:r>
      <w:proofErr w:type="spellEnd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spp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.,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Peptostreptokok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,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Enterokoklar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,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metisiline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dirençli stafilokoklar, JK grubu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Corynebacteria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,</w:t>
      </w:r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Listeria</w:t>
      </w:r>
      <w:proofErr w:type="spellEnd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monocytogenes</w:t>
      </w:r>
      <w:proofErr w:type="spellEnd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,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Pseudomonas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spp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.,</w:t>
      </w:r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Acinetobacter</w:t>
      </w:r>
      <w:proofErr w:type="spellEnd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spp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.,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Clostridium</w:t>
      </w:r>
      <w:proofErr w:type="spellEnd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spp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.,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Bacleroides</w:t>
      </w:r>
      <w:proofErr w:type="spellEnd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i/>
          <w:sz w:val="24"/>
          <w:szCs w:val="24"/>
        </w:rPr>
        <w:t>fragilis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ve benzer türler</w:t>
      </w:r>
    </w:p>
    <w:p w:rsidR="003E7C2C" w:rsidRPr="001156AA" w:rsidRDefault="003E7C2C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666E19" w:rsidRPr="001156AA" w:rsidRDefault="003F138F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5.2</w:t>
      </w:r>
      <w:r w:rsidR="00545921"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.</w:t>
      </w: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ab/>
      </w:r>
      <w:proofErr w:type="spellStart"/>
      <w:r w:rsidR="00666E19"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Farmakokinetik</w:t>
      </w:r>
      <w:proofErr w:type="spellEnd"/>
      <w:r w:rsidR="00666E19"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özellikler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  <w:u w:val="single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  <w:u w:val="single"/>
        </w:rPr>
        <w:t>Emilim: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Oral uygulamayı takiben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sefpodoksim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proksetil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gastrointestinal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kanaldan emilir. Besinler</w:t>
      </w:r>
      <w:r w:rsidR="003F138F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emilimini artırdığından, yemekler sırasında alınması önerilir.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  <w:u w:val="single"/>
        </w:rPr>
      </w:pP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  <w:u w:val="single"/>
        </w:rPr>
        <w:t>Biyotransformasyon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  <w:u w:val="single"/>
        </w:rPr>
        <w:t>:</w:t>
      </w:r>
    </w:p>
    <w:p w:rsidR="003F138F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Nonspesifik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esterazlar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tarafından hızla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bakterisid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etkili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sefpodoksime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hidrolize olur.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  <w:u w:val="single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  <w:u w:val="single"/>
        </w:rPr>
        <w:t>Dağılım: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1</w:t>
      </w:r>
      <w:r w:rsidR="003F138F" w:rsidRPr="001156AA">
        <w:rPr>
          <w:rFonts w:ascii="Times New Roman" w:eastAsia="TimesNewRoman,Bold" w:hAnsi="Times New Roman" w:cs="Times New Roman"/>
          <w:bCs/>
          <w:sz w:val="24"/>
          <w:szCs w:val="24"/>
        </w:rPr>
        <w:t>00 mg ve 200 mg doz uygulamaları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için ortalama maksimum plazma konsantrasyonla</w:t>
      </w:r>
      <w:r w:rsidR="003F138F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rı 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(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C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  <w:vertAlign w:val="subscript"/>
        </w:rPr>
        <w:t>max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) sırasıyla 1-</w:t>
      </w:r>
      <w:proofErr w:type="gram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1.2</w:t>
      </w:r>
      <w:proofErr w:type="gram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mg/1 ve 2.2-2.5 mg/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l'dir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. Pik plazma </w:t>
      </w:r>
      <w:proofErr w:type="gram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konsantrasyonuna</w:t>
      </w:r>
      <w:proofErr w:type="gram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(</w:t>
      </w:r>
      <w:proofErr w:type="spellStart"/>
      <w:r w:rsidR="00920BC9" w:rsidRPr="001156AA">
        <w:rPr>
          <w:rFonts w:ascii="Times New Roman" w:eastAsia="TimesNewRoman,Bold" w:hAnsi="Times New Roman" w:cs="Times New Roman"/>
          <w:bCs/>
          <w:sz w:val="24"/>
          <w:szCs w:val="24"/>
        </w:rPr>
        <w:t>T</w:t>
      </w:r>
      <w:r w:rsidR="00920BC9" w:rsidRPr="001156AA">
        <w:rPr>
          <w:rFonts w:ascii="Times New Roman" w:eastAsia="TimesNewRoman,Bold" w:hAnsi="Times New Roman" w:cs="Times New Roman"/>
          <w:bCs/>
          <w:sz w:val="24"/>
          <w:szCs w:val="24"/>
          <w:vertAlign w:val="subscript"/>
        </w:rPr>
        <w:t>max</w:t>
      </w:r>
      <w:proofErr w:type="spellEnd"/>
      <w:r w:rsidR="00920BC9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) 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2-3 saatte</w:t>
      </w:r>
      <w:r w:rsidR="003F138F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ulaşılır. 100 mg ve 200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mg'ın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oral uygulamasından 12 saat sonraki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rezidüel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gram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konsantrasyonlar</w:t>
      </w:r>
      <w:proofErr w:type="gramEnd"/>
      <w:r w:rsidR="003F138F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sırasıyla 0.08 mg/ml ve 0.18 mg/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l'dir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. Günde 2 defa </w:t>
      </w:r>
      <w:proofErr w:type="gram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14.5</w:t>
      </w:r>
      <w:proofErr w:type="gram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gün süre ile 100 ve 200 mg tabletler</w:t>
      </w:r>
      <w:r w:rsidR="003F138F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kullanıldığında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sefpodoksimin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plazma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farmakokinetik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parametreleri değişmemiş olarak kalır.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Bu durum etkin maddenin birikim yapmadığını gösterir.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Sefpodoksim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plazma proteinlerine % 21-29 oranında</w:t>
      </w:r>
      <w:r w:rsidR="003F138F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bağlanır. Doku ve vücut sıvıları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nda</w:t>
      </w:r>
      <w:r w:rsidR="003F138F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dağılımı:</w:t>
      </w:r>
    </w:p>
    <w:p w:rsidR="00666E19" w:rsidRPr="001156AA" w:rsidRDefault="00666E19" w:rsidP="003A0788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Zaman eğrisi </w:t>
      </w:r>
      <w:proofErr w:type="gram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konsantrasyonla</w:t>
      </w:r>
      <w:r w:rsidR="003F138F" w:rsidRPr="001156AA">
        <w:rPr>
          <w:rFonts w:ascii="Times New Roman" w:eastAsia="TimesNewRoman,Bold" w:hAnsi="Times New Roman" w:cs="Times New Roman"/>
          <w:bCs/>
          <w:sz w:val="24"/>
          <w:szCs w:val="24"/>
        </w:rPr>
        <w:t>rı</w:t>
      </w:r>
      <w:proofErr w:type="gramEnd"/>
      <w:r w:rsidR="003F138F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bazı hassas mikro-organizmaları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n MIC değerlerini aşar.</w:t>
      </w:r>
    </w:p>
    <w:p w:rsidR="00666E19" w:rsidRPr="001156AA" w:rsidRDefault="00666E19" w:rsidP="003A0788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Tonsill</w:t>
      </w:r>
      <w:r w:rsidR="003A0788" w:rsidRPr="001156AA">
        <w:rPr>
          <w:rFonts w:ascii="Times New Roman" w:eastAsia="TimesNewRoman,Bold" w:hAnsi="Times New Roman" w:cs="Times New Roman"/>
          <w:bCs/>
          <w:sz w:val="24"/>
          <w:szCs w:val="24"/>
        </w:rPr>
        <w:t>erdeki</w:t>
      </w:r>
      <w:proofErr w:type="spellEnd"/>
      <w:r w:rsidR="003A0788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yaklaşık konsantrasyonları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, 100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mg'lık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tek doz alımından 4 saat sonra yaklaşık 0.24 mg/g olup 7 saat sonra yaklaşık </w:t>
      </w:r>
      <w:proofErr w:type="gram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0.1</w:t>
      </w:r>
      <w:proofErr w:type="gram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mg/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g'a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düşer. 200 mg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lık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tek doz alımından sonra barsak sıvı </w:t>
      </w:r>
      <w:proofErr w:type="gram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konsantrasyonu</w:t>
      </w:r>
      <w:proofErr w:type="gram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plazma konsantrasyonunun % 80'dir.</w:t>
      </w:r>
    </w:p>
    <w:p w:rsidR="00666E19" w:rsidRPr="001156AA" w:rsidRDefault="00666E19" w:rsidP="003A0788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200 mg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sefpodoksim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kullanımında 3-12 saat sonra akciğer doku konsantrasyo</w:t>
      </w:r>
      <w:r w:rsidR="003A0788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nu </w:t>
      </w:r>
      <w:proofErr w:type="gramStart"/>
      <w:r w:rsidR="003A0788" w:rsidRPr="001156AA">
        <w:rPr>
          <w:rFonts w:ascii="Times New Roman" w:eastAsia="TimesNewRoman,Bold" w:hAnsi="Times New Roman" w:cs="Times New Roman"/>
          <w:bCs/>
          <w:sz w:val="24"/>
          <w:szCs w:val="24"/>
        </w:rPr>
        <w:t>0.6</w:t>
      </w:r>
      <w:proofErr w:type="gramEnd"/>
      <w:r w:rsidR="003A0788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µ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g/g ve 0.2 </w:t>
      </w:r>
      <w:r w:rsidR="003A0788" w:rsidRPr="001156AA">
        <w:rPr>
          <w:rFonts w:ascii="Times New Roman" w:eastAsia="TimesNewRoman,Bold" w:hAnsi="Times New Roman" w:cs="Times New Roman"/>
          <w:bCs/>
          <w:sz w:val="24"/>
          <w:szCs w:val="24"/>
        </w:rPr>
        <w:t>µ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g/g arasında değişir. Plevra sıvı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konsantrasyonlan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ise </w:t>
      </w:r>
      <w:proofErr w:type="gram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0.6</w:t>
      </w:r>
      <w:proofErr w:type="gram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-0.8 mg/</w:t>
      </w:r>
      <w:r w:rsidR="003A0788" w:rsidRPr="001156AA">
        <w:rPr>
          <w:rFonts w:ascii="Times New Roman" w:eastAsia="TimesNewRoman,Bold" w:hAnsi="Times New Roman" w:cs="Times New Roman"/>
          <w:bCs/>
          <w:sz w:val="24"/>
          <w:szCs w:val="24"/>
        </w:rPr>
        <w:t>l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arası değişir.</w:t>
      </w:r>
    </w:p>
    <w:p w:rsidR="00666E19" w:rsidRPr="001156AA" w:rsidRDefault="00666E19" w:rsidP="003A0788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200 mg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sefpodoksim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kullanımından 1-4 saat sonra bronş mukozası </w:t>
      </w:r>
      <w:proofErr w:type="gram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konsantrasyonu</w:t>
      </w:r>
      <w:proofErr w:type="gram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yaklaşık </w:t>
      </w:r>
      <w:r w:rsidR="003A0788" w:rsidRPr="001156AA">
        <w:rPr>
          <w:rFonts w:ascii="Times New Roman" w:eastAsia="TimesNewRoman,Bold" w:hAnsi="Times New Roman" w:cs="Times New Roman"/>
          <w:bCs/>
          <w:sz w:val="24"/>
          <w:szCs w:val="24"/>
        </w:rPr>
        <w:t>1 µ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g/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g'dır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. (Plazma </w:t>
      </w:r>
      <w:proofErr w:type="gram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konsantrasyonun</w:t>
      </w:r>
      <w:proofErr w:type="gram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% 40-45'i)</w:t>
      </w:r>
    </w:p>
    <w:p w:rsidR="00666E19" w:rsidRPr="001156AA" w:rsidRDefault="00666E19" w:rsidP="003A0788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200 mg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sefpodoksim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doz alımından 3-12 saat sonra ortalama böbrek doku konsantrasyonu </w:t>
      </w:r>
      <w:proofErr w:type="gramStart"/>
      <w:r w:rsidR="003A0788" w:rsidRPr="001156AA">
        <w:rPr>
          <w:rFonts w:ascii="Times New Roman" w:eastAsia="TimesNewRoman,Bold" w:hAnsi="Times New Roman" w:cs="Times New Roman"/>
          <w:bCs/>
          <w:sz w:val="24"/>
          <w:szCs w:val="24"/>
        </w:rPr>
        <w:t>0.6</w:t>
      </w:r>
      <w:proofErr w:type="gramEnd"/>
      <w:r w:rsidR="003A0788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µg/g-3.1 µ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g/g arası değişmektedir.</w:t>
      </w:r>
    </w:p>
    <w:p w:rsidR="00666E19" w:rsidRPr="001156AA" w:rsidRDefault="00666E19" w:rsidP="003A0788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200 mg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sefpodoksim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doz alımından 3-6 saat sonra ortalama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prostatik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doku konsantrasyonu </w:t>
      </w:r>
      <w:proofErr w:type="gram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0.6</w:t>
      </w:r>
      <w:proofErr w:type="gram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="003A0788" w:rsidRPr="001156AA">
        <w:rPr>
          <w:rFonts w:ascii="Times New Roman" w:eastAsia="TimesNewRoman,Bold" w:hAnsi="Times New Roman" w:cs="Times New Roman"/>
          <w:bCs/>
          <w:sz w:val="24"/>
          <w:szCs w:val="24"/>
        </w:rPr>
        <w:t>µ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g/g-0.2 </w:t>
      </w:r>
      <w:r w:rsidR="003A0788" w:rsidRPr="001156AA">
        <w:rPr>
          <w:rFonts w:ascii="Times New Roman" w:eastAsia="TimesNewRoman,Bold" w:hAnsi="Times New Roman" w:cs="Times New Roman"/>
          <w:bCs/>
          <w:sz w:val="24"/>
          <w:szCs w:val="24"/>
        </w:rPr>
        <w:t>µ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g/g arası değişmektedir.</w:t>
      </w:r>
    </w:p>
    <w:p w:rsidR="004A630D" w:rsidRPr="001156AA" w:rsidRDefault="004A630D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4A630D" w:rsidRPr="001156AA" w:rsidRDefault="004A630D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lastRenderedPageBreak/>
        <w:t>Eliminasyon:</w:t>
      </w:r>
    </w:p>
    <w:p w:rsidR="00666E19" w:rsidRPr="001156AA" w:rsidRDefault="003A0788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Eli</w:t>
      </w:r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>minasyon ya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rı</w:t>
      </w:r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lanma ömrü ortalama </w:t>
      </w:r>
      <w:proofErr w:type="gramStart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>2.4</w:t>
      </w:r>
      <w:proofErr w:type="gramEnd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saattir. </w:t>
      </w:r>
      <w:proofErr w:type="spellStart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Sefpodoksim</w:t>
      </w:r>
      <w:proofErr w:type="spellEnd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>proksetilin</w:t>
      </w:r>
      <w:proofErr w:type="spellEnd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emilimini takiben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salınan </w:t>
      </w:r>
      <w:proofErr w:type="spellStart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sefpodoksimin</w:t>
      </w:r>
      <w:proofErr w:type="spellEnd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%80'ı değişmemiş olarak idrarla atılır.</w:t>
      </w:r>
    </w:p>
    <w:p w:rsidR="0040602E" w:rsidRPr="001156AA" w:rsidRDefault="0040602E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5.3</w:t>
      </w:r>
      <w:r w:rsidR="00545921"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.</w:t>
      </w:r>
      <w:r w:rsidR="003A0788"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ab/>
      </w: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Klinik öncesi güvenlilik verileri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Sefpodoksim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proksetil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rölatif olarak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toksisite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göstermeyen bir bileşiktir. Yürütülen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toksisite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ça</w:t>
      </w:r>
      <w:r w:rsidR="003A0788" w:rsidRPr="001156AA">
        <w:rPr>
          <w:rFonts w:ascii="Times New Roman" w:eastAsia="TimesNewRoman,Bold" w:hAnsi="Times New Roman" w:cs="Times New Roman"/>
          <w:bCs/>
          <w:sz w:val="24"/>
          <w:szCs w:val="24"/>
        </w:rPr>
        <w:t>lışmaları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nda, insanda oral antibiyotik olarak kullanımını kısıtlayacak hiçbir bulguya rastlanmamıştır.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Akut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toksisite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(oral uygulama)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LD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  <w:vertAlign w:val="subscript"/>
        </w:rPr>
        <w:t>50</w:t>
      </w:r>
      <w:r w:rsidR="003A0788" w:rsidRPr="001156AA">
        <w:rPr>
          <w:rFonts w:ascii="Times New Roman" w:eastAsia="TimesNewRoman,Bold" w:hAnsi="Times New Roman" w:cs="Times New Roman"/>
          <w:bCs/>
          <w:sz w:val="24"/>
          <w:szCs w:val="24"/>
        </w:rPr>
        <w:t>, farelerde 8 g/</w:t>
      </w:r>
      <w:proofErr w:type="spellStart"/>
      <w:r w:rsidR="003A0788" w:rsidRPr="001156AA">
        <w:rPr>
          <w:rFonts w:ascii="Times New Roman" w:eastAsia="TimesNewRoman,Bold" w:hAnsi="Times New Roman" w:cs="Times New Roman"/>
          <w:bCs/>
          <w:sz w:val="24"/>
          <w:szCs w:val="24"/>
        </w:rPr>
        <w:t>kg'ın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ve sıçanlarda 4 g/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kg'</w:t>
      </w:r>
      <w:r w:rsidR="003A0788" w:rsidRPr="001156AA">
        <w:rPr>
          <w:rFonts w:ascii="Times New Roman" w:eastAsia="TimesNewRoman,Bold" w:hAnsi="Times New Roman" w:cs="Times New Roman"/>
          <w:bCs/>
          <w:sz w:val="24"/>
          <w:szCs w:val="24"/>
        </w:rPr>
        <w:t>ın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üzerinde bulunmuştur.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Fisher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sıçanla</w:t>
      </w:r>
      <w:r w:rsidR="003A0788" w:rsidRPr="001156AA">
        <w:rPr>
          <w:rFonts w:ascii="Times New Roman" w:eastAsia="TimesNewRoman,Bold" w:hAnsi="Times New Roman" w:cs="Times New Roman"/>
          <w:bCs/>
          <w:sz w:val="24"/>
          <w:szCs w:val="24"/>
        </w:rPr>
        <w:t>rı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nda, 1</w:t>
      </w:r>
      <w:r w:rsidR="003A0788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g/kg ve daha yüksek dozlardan sonra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feçes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kıvamında ve vücut ağırlığında geçici istenmeyen etkiler ortaya çıkmıştır. Köpeklerde 800 mg/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kg'lık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tek dozun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toksik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olmadığı gösterilmiştir.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Kronik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toksisite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(oral uygulama)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Kronik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toksisite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araştırmala</w:t>
      </w:r>
      <w:r w:rsidR="003A0788" w:rsidRPr="001156AA">
        <w:rPr>
          <w:rFonts w:ascii="Times New Roman" w:eastAsia="TimesNewRoman,Bold" w:hAnsi="Times New Roman" w:cs="Times New Roman"/>
          <w:bCs/>
          <w:sz w:val="24"/>
          <w:szCs w:val="24"/>
        </w:rPr>
        <w:t>rı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sıçanlarda 12 ay ve köpeklerde 6 ay süreyle gerçekleştirilmiştir. Maksima</w:t>
      </w:r>
      <w:r w:rsidR="003A0788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l günlük dozlar, </w:t>
      </w:r>
      <w:proofErr w:type="spellStart"/>
      <w:r w:rsidR="003A0788" w:rsidRPr="001156AA">
        <w:rPr>
          <w:rFonts w:ascii="Times New Roman" w:eastAsia="TimesNewRoman,Bold" w:hAnsi="Times New Roman" w:cs="Times New Roman"/>
          <w:bCs/>
          <w:sz w:val="24"/>
          <w:szCs w:val="24"/>
        </w:rPr>
        <w:t>Wistar</w:t>
      </w:r>
      <w:proofErr w:type="spellEnd"/>
      <w:r w:rsidR="003A0788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sıçanları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nda 1000 mg/kg ve köpeklerde 400 mg/kg, yani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terapötik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dozun (3-6 mg/kg) çok üzerinde olmuştur.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Wistar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sıçanla</w:t>
      </w:r>
      <w:r w:rsidR="003A0788" w:rsidRPr="001156AA">
        <w:rPr>
          <w:rFonts w:ascii="Times New Roman" w:eastAsia="TimesNewRoman,Bold" w:hAnsi="Times New Roman" w:cs="Times New Roman"/>
          <w:bCs/>
          <w:sz w:val="24"/>
          <w:szCs w:val="24"/>
        </w:rPr>
        <w:t>rı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na 12 ay boyunca oral yolla verilen 250, 500 ve 1000 mg/kg ile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mortali</w:t>
      </w:r>
      <w:r w:rsidR="003A0788" w:rsidRPr="001156AA">
        <w:rPr>
          <w:rFonts w:ascii="Times New Roman" w:eastAsia="TimesNewRoman,Bold" w:hAnsi="Times New Roman" w:cs="Times New Roman"/>
          <w:bCs/>
          <w:sz w:val="24"/>
          <w:szCs w:val="24"/>
        </w:rPr>
        <w:t>te</w:t>
      </w:r>
      <w:proofErr w:type="spellEnd"/>
      <w:r w:rsidR="003A0788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görülmemiştir. Sadece 1000 </w:t>
      </w:r>
      <w:r w:rsidR="00EE03B4" w:rsidRPr="001156AA">
        <w:rPr>
          <w:rFonts w:ascii="Times New Roman" w:eastAsia="TimesNewRoman,Bold" w:hAnsi="Times New Roman" w:cs="Times New Roman"/>
          <w:bCs/>
          <w:sz w:val="24"/>
          <w:szCs w:val="24"/>
        </w:rPr>
        <w:t>m</w:t>
      </w:r>
      <w:r w:rsidR="003A0788" w:rsidRPr="001156AA">
        <w:rPr>
          <w:rFonts w:ascii="Times New Roman" w:eastAsia="TimesNewRoman,Bold" w:hAnsi="Times New Roman" w:cs="Times New Roman"/>
          <w:bCs/>
          <w:sz w:val="24"/>
          <w:szCs w:val="24"/>
        </w:rPr>
        <w:t>g/</w:t>
      </w:r>
      <w:proofErr w:type="spellStart"/>
      <w:r w:rsidR="003A0788" w:rsidRPr="001156AA">
        <w:rPr>
          <w:rFonts w:ascii="Times New Roman" w:eastAsia="TimesNewRoman,Bold" w:hAnsi="Times New Roman" w:cs="Times New Roman"/>
          <w:bCs/>
          <w:sz w:val="24"/>
          <w:szCs w:val="24"/>
        </w:rPr>
        <w:t>kg'ın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üzerindeki bir dozla istenmeyen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gastrointestinal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etkiler gözlenmiştir; bunlar başlıca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feçesin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yumuşaklaşması ve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çekumda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dilatasyondur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.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Fisher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sıçanla</w:t>
      </w:r>
      <w:r w:rsidR="003A0788" w:rsidRPr="001156AA">
        <w:rPr>
          <w:rFonts w:ascii="Times New Roman" w:eastAsia="TimesNewRoman,Bold" w:hAnsi="Times New Roman" w:cs="Times New Roman"/>
          <w:bCs/>
          <w:sz w:val="24"/>
          <w:szCs w:val="24"/>
        </w:rPr>
        <w:t>rı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nda daha belirgin olan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intestinal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yan etkiler,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sefpodoksimin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antibakteriyel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etkisinin ve bunun sonucu ortaya çıkan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intestinal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flora değişikliklerinin sonucunda oluşmuştur. Köpeklerde 6 ay süreyle oral yolla günde 0, 25, 100 ve 400 mg/kg kullanılması ile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mortalite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görülmemiştir. Değişime uğramamış madde sadece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feçeste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saptanmıştır.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Üreme toksikolojisi: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Sıçanlarda ve tavşanlarda yapılan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embriyotoksisite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araştırmala</w:t>
      </w:r>
      <w:r w:rsidR="003A0788" w:rsidRPr="001156AA">
        <w:rPr>
          <w:rFonts w:ascii="Times New Roman" w:eastAsia="TimesNewRoman,Bold" w:hAnsi="Times New Roman" w:cs="Times New Roman"/>
          <w:bCs/>
          <w:sz w:val="24"/>
          <w:szCs w:val="24"/>
        </w:rPr>
        <w:t>rı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nda herhangi bir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teratojenik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potansiyel belirtisi ortaya çıkmamıştır.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Sefpodoksim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sıçanlarda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fertilite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araştırmala</w:t>
      </w:r>
      <w:r w:rsidR="003A0788" w:rsidRPr="001156AA">
        <w:rPr>
          <w:rFonts w:ascii="Times New Roman" w:eastAsia="TimesNewRoman,Bold" w:hAnsi="Times New Roman" w:cs="Times New Roman"/>
          <w:bCs/>
          <w:sz w:val="24"/>
          <w:szCs w:val="24"/>
        </w:rPr>
        <w:t>rı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nda ve peri- ve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postnatal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araştırmalarda istenmeyen bir etki oluşturmamıştır. Sıçanlarda plasentadan geçtiği ve sütte aktif madde veya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metabolitlerinin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görüldüğü saptanmıştır. İnsanlarda gebelikte kullanımı ile ilgili deneyim bulunmamaktadır.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Mutajenite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: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Çeşitli sistemlerdeki kapsamlı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mutajenite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araştırmala</w:t>
      </w:r>
      <w:r w:rsidR="003A0788" w:rsidRPr="001156AA">
        <w:rPr>
          <w:rFonts w:ascii="Times New Roman" w:eastAsia="TimesNewRoman,Bold" w:hAnsi="Times New Roman" w:cs="Times New Roman"/>
          <w:bCs/>
          <w:sz w:val="24"/>
          <w:szCs w:val="24"/>
        </w:rPr>
        <w:t>rı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negatif sonuçlar vermiştir.</w:t>
      </w:r>
    </w:p>
    <w:p w:rsidR="00666E19" w:rsidRPr="001156AA" w:rsidRDefault="003A0788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Kanserojeni</w:t>
      </w:r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>te</w:t>
      </w:r>
      <w:proofErr w:type="spellEnd"/>
      <w:r w:rsidR="00666E19" w:rsidRPr="001156AA">
        <w:rPr>
          <w:rFonts w:ascii="Times New Roman" w:eastAsia="TimesNewRoman,Bold" w:hAnsi="Times New Roman" w:cs="Times New Roman"/>
          <w:bCs/>
          <w:sz w:val="24"/>
          <w:szCs w:val="24"/>
        </w:rPr>
        <w:t>: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Kanserojenik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potansiyel araştırmala</w:t>
      </w:r>
      <w:r w:rsidR="003A0788" w:rsidRPr="001156AA">
        <w:rPr>
          <w:rFonts w:ascii="Times New Roman" w:eastAsia="TimesNewRoman,Bold" w:hAnsi="Times New Roman" w:cs="Times New Roman"/>
          <w:bCs/>
          <w:sz w:val="24"/>
          <w:szCs w:val="24"/>
        </w:rPr>
        <w:t>rı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bildirilmemiştir.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lastRenderedPageBreak/>
        <w:t xml:space="preserve">Tüm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Preklinik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(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Toksikolojik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-Farmakolojik) çalışma verilerini kapsayan ve büyükler için sunulmuş olan geniş dosya bilgileri arasından, çocuklara uygulama ile ilgili olan bölümler aşağıda özetlenmiştir:</w:t>
      </w:r>
    </w:p>
    <w:p w:rsidR="003E7C2C" w:rsidRPr="001156AA" w:rsidRDefault="003E7C2C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Akut ve tekrarlayan doz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toksisitesi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:</w:t>
      </w:r>
    </w:p>
    <w:tbl>
      <w:tblPr>
        <w:tblW w:w="92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25"/>
        <w:gridCol w:w="2254"/>
        <w:gridCol w:w="5345"/>
      </w:tblGrid>
      <w:tr w:rsidR="00666E19" w:rsidRPr="001156AA" w:rsidTr="003A0788">
        <w:trPr>
          <w:trHeight w:hRule="exact" w:val="413"/>
        </w:trPr>
        <w:tc>
          <w:tcPr>
            <w:tcW w:w="162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/>
          </w:tcPr>
          <w:p w:rsidR="00666E19" w:rsidRPr="001156AA" w:rsidRDefault="00666E19" w:rsidP="00666E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Süre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/>
          </w:tcPr>
          <w:p w:rsidR="00666E19" w:rsidRPr="001156AA" w:rsidRDefault="00666E19" w:rsidP="00666E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Türler</w:t>
            </w:r>
          </w:p>
        </w:tc>
        <w:tc>
          <w:tcPr>
            <w:tcW w:w="534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/>
          </w:tcPr>
          <w:p w:rsidR="00666E19" w:rsidRPr="001156AA" w:rsidRDefault="00666E19" w:rsidP="00666E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Yaş                         </w:t>
            </w:r>
            <w:r w:rsidR="003A0788"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              </w:t>
            </w:r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Doz (mg/kg p.o)</w:t>
            </w:r>
          </w:p>
        </w:tc>
      </w:tr>
      <w:tr w:rsidR="00666E19" w:rsidRPr="001156AA" w:rsidTr="003A0788">
        <w:trPr>
          <w:trHeight w:hRule="exact" w:val="383"/>
        </w:trPr>
        <w:tc>
          <w:tcPr>
            <w:tcW w:w="162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FFFFFF"/>
          </w:tcPr>
          <w:p w:rsidR="00666E19" w:rsidRPr="001156AA" w:rsidRDefault="00666E19" w:rsidP="00666E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proofErr w:type="gramStart"/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akut</w:t>
            </w:r>
            <w:proofErr w:type="gramEnd"/>
          </w:p>
        </w:tc>
        <w:tc>
          <w:tcPr>
            <w:tcW w:w="225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FFFFFF"/>
          </w:tcPr>
          <w:p w:rsidR="00666E19" w:rsidRPr="001156AA" w:rsidRDefault="00666E19" w:rsidP="00666E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proofErr w:type="spellStart"/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rat</w:t>
            </w:r>
            <w:proofErr w:type="spellEnd"/>
          </w:p>
        </w:tc>
        <w:tc>
          <w:tcPr>
            <w:tcW w:w="534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FFFFFF"/>
          </w:tcPr>
          <w:p w:rsidR="00666E19" w:rsidRPr="001156AA" w:rsidRDefault="00666E19" w:rsidP="00666E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4, 7, 14 veya 23 gün   </w:t>
            </w:r>
            <w:r w:rsidR="003A0788"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             </w:t>
            </w:r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4000</w:t>
            </w:r>
          </w:p>
        </w:tc>
      </w:tr>
      <w:tr w:rsidR="00666E19" w:rsidRPr="001156AA" w:rsidTr="003A0788">
        <w:trPr>
          <w:trHeight w:hRule="exact" w:val="376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6E19" w:rsidRPr="001156AA" w:rsidRDefault="00666E19" w:rsidP="00666E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28 gün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6E19" w:rsidRPr="001156AA" w:rsidRDefault="00666E19" w:rsidP="00666E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proofErr w:type="spellStart"/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rat</w:t>
            </w:r>
            <w:proofErr w:type="spellEnd"/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6E19" w:rsidRPr="001156AA" w:rsidRDefault="00666E19" w:rsidP="00666E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3 hafta                     </w:t>
            </w:r>
            <w:r w:rsidR="003A0788"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                </w:t>
            </w:r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60, 250, 1000</w:t>
            </w:r>
          </w:p>
        </w:tc>
      </w:tr>
      <w:tr w:rsidR="00666E19" w:rsidRPr="001156AA" w:rsidTr="003A0788">
        <w:trPr>
          <w:trHeight w:hRule="exact" w:val="383"/>
        </w:trPr>
        <w:tc>
          <w:tcPr>
            <w:tcW w:w="1625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666E19" w:rsidRPr="001156AA" w:rsidRDefault="00666E19" w:rsidP="00666E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28 gün</w:t>
            </w: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666E19" w:rsidRPr="001156AA" w:rsidRDefault="00666E19" w:rsidP="00666E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proofErr w:type="gramStart"/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köpek</w:t>
            </w:r>
            <w:proofErr w:type="gramEnd"/>
          </w:p>
        </w:tc>
        <w:tc>
          <w:tcPr>
            <w:tcW w:w="5345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666E19" w:rsidRPr="001156AA" w:rsidRDefault="00666E19" w:rsidP="00666E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3 hafta                     </w:t>
            </w:r>
            <w:r w:rsidR="003A0788"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                </w:t>
            </w:r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100, 200</w:t>
            </w:r>
          </w:p>
        </w:tc>
      </w:tr>
      <w:tr w:rsidR="00666E19" w:rsidRPr="001156AA" w:rsidTr="003A0788">
        <w:trPr>
          <w:trHeight w:hRule="exact" w:val="391"/>
        </w:trPr>
        <w:tc>
          <w:tcPr>
            <w:tcW w:w="162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/>
          </w:tcPr>
          <w:p w:rsidR="00666E19" w:rsidRPr="001156AA" w:rsidRDefault="00666E19" w:rsidP="00666E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28 gün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/>
          </w:tcPr>
          <w:p w:rsidR="00666E19" w:rsidRPr="001156AA" w:rsidRDefault="00666E19" w:rsidP="00666E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proofErr w:type="gramStart"/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köpek</w:t>
            </w:r>
            <w:proofErr w:type="gramEnd"/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/>
          </w:tcPr>
          <w:p w:rsidR="00666E19" w:rsidRPr="001156AA" w:rsidRDefault="00666E19" w:rsidP="00666E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3 hafta                     </w:t>
            </w:r>
            <w:r w:rsidR="003A0788"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                 </w:t>
            </w:r>
            <w:r w:rsidRPr="001156AA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400</w:t>
            </w:r>
          </w:p>
        </w:tc>
      </w:tr>
    </w:tbl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Akut çalışmada uygulamaya karşı hiçbir reaksiyon görülmemiştir. Sıçanlarda tekrarlanan doz </w:t>
      </w:r>
      <w:r w:rsidR="003A0788" w:rsidRPr="001156AA">
        <w:rPr>
          <w:rFonts w:ascii="Times New Roman" w:eastAsia="TimesNewRoman,Bold" w:hAnsi="Times New Roman" w:cs="Times New Roman"/>
          <w:bCs/>
          <w:sz w:val="24"/>
          <w:szCs w:val="24"/>
        </w:rPr>
        <w:t>çalışmaları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nda büyüklerdekine benzer bulgulara (üst dozda, minör hematolojik ve klinik kimya değişikliği ile birlikte karaciğer ağırlığında azalma ve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çekumda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genişleme) rastlanmıştır. Köpeklerde, büyük hayvanlarla yapılan çalışmalardan elde edilen verilerde de olduğu gibi 400 mg/kg/gün doz uygulanan hayvanda görülen karaciğer değişikliğinin dışında, 1 hayvanda hafif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hipertrofi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gözlenmiştir. Bu glikojen birikimine bağlı olarak ortaya çıkmaktadır ve </w:t>
      </w:r>
      <w:proofErr w:type="gram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dejenerasyon</w:t>
      </w:r>
      <w:proofErr w:type="gram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gözlenmez. Bütün bu değişikliklerin hafif olduğu yorumuna varılmıştır.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Çoğalma ça</w:t>
      </w:r>
      <w:r w:rsidR="003A0788" w:rsidRPr="001156AA">
        <w:rPr>
          <w:rFonts w:ascii="Times New Roman" w:eastAsia="TimesNewRoman,Bold" w:hAnsi="Times New Roman" w:cs="Times New Roman"/>
          <w:bCs/>
          <w:sz w:val="24"/>
          <w:szCs w:val="24"/>
        </w:rPr>
        <w:t>lı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şmala</w:t>
      </w:r>
      <w:r w:rsidR="003A0788" w:rsidRPr="001156AA">
        <w:rPr>
          <w:rFonts w:ascii="Times New Roman" w:eastAsia="TimesNewRoman,Bold" w:hAnsi="Times New Roman" w:cs="Times New Roman"/>
          <w:bCs/>
          <w:sz w:val="24"/>
          <w:szCs w:val="24"/>
        </w:rPr>
        <w:t>rı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: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500</w:t>
      </w:r>
      <w:r w:rsidR="003A0788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mg/kg/gün p.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o'a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kadar olan dozlar kullanılmıştır, ancak tavşanla</w:t>
      </w:r>
      <w:r w:rsidR="003A0788" w:rsidRPr="001156AA">
        <w:rPr>
          <w:rFonts w:ascii="Times New Roman" w:eastAsia="TimesNewRoman,Bold" w:hAnsi="Times New Roman" w:cs="Times New Roman"/>
          <w:bCs/>
          <w:sz w:val="24"/>
          <w:szCs w:val="24"/>
        </w:rPr>
        <w:t>rı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n barsak </w:t>
      </w:r>
      <w:proofErr w:type="gram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florasında</w:t>
      </w:r>
      <w:proofErr w:type="gram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sefalosporin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uygulamasından sonra oluşan değişiklikler nedeniyle bu tür için, özel protokol uyarlanmıştır. Bu türlerde olası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embriyotoksik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ve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teratojenik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etkileri araştırmayı mümkün kılmak iç</w:t>
      </w:r>
      <w:r w:rsidR="003F0FF7" w:rsidRPr="001156AA">
        <w:rPr>
          <w:rFonts w:ascii="Times New Roman" w:eastAsia="TimesNewRoman,Bold" w:hAnsi="Times New Roman" w:cs="Times New Roman"/>
          <w:bCs/>
          <w:sz w:val="24"/>
          <w:szCs w:val="24"/>
        </w:rPr>
        <w:t>in 10 ve 30 mg/kg/gün dozlar ayrı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hayvan grupla</w:t>
      </w:r>
      <w:r w:rsidR="003F0FF7" w:rsidRPr="001156AA">
        <w:rPr>
          <w:rFonts w:ascii="Times New Roman" w:eastAsia="TimesNewRoman,Bold" w:hAnsi="Times New Roman" w:cs="Times New Roman"/>
          <w:bCs/>
          <w:sz w:val="24"/>
          <w:szCs w:val="24"/>
        </w:rPr>
        <w:t>rı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na 3 günlük </w:t>
      </w:r>
      <w:proofErr w:type="gram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periyotlarla</w:t>
      </w:r>
      <w:proofErr w:type="gram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uygulanmıştır (6-8, 9-11, 12-14 ve 15-17. günlerde). Bu çalışmala</w:t>
      </w:r>
      <w:r w:rsidR="003F0FF7" w:rsidRPr="001156AA">
        <w:rPr>
          <w:rFonts w:ascii="Times New Roman" w:eastAsia="TimesNewRoman,Bold" w:hAnsi="Times New Roman" w:cs="Times New Roman"/>
          <w:bCs/>
          <w:sz w:val="24"/>
          <w:szCs w:val="24"/>
        </w:rPr>
        <w:t>rı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n hiçbirinde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advers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etkiye rastlanmamıştır. Bu veriyi desteklemek üzere, olası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embriyotoksik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ve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teratojenik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etki için</w:t>
      </w:r>
      <w:r w:rsidR="003F0FF7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ek bir çalı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şma farelerle yürütülmüştür. 40, 200 ve 1000 mg/kg/gün p.o. dozlar, hamileliğin 6-15. günlerinde uygulanmış, hiçbir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maternotoksik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,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embriyotoksik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veya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teratojenik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etkiye rastlanmamıştır.</w:t>
      </w:r>
    </w:p>
    <w:p w:rsidR="00666E19" w:rsidRPr="001156AA" w:rsidRDefault="00666E19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Sonuç olarak,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</w:t>
      </w:r>
      <w:r w:rsidR="0040602E" w:rsidRPr="001156AA">
        <w:rPr>
          <w:rFonts w:ascii="Times New Roman" w:eastAsia="TimesNewRoman,Bold" w:hAnsi="Times New Roman" w:cs="Times New Roman"/>
          <w:bCs/>
          <w:sz w:val="24"/>
          <w:szCs w:val="24"/>
        </w:rPr>
        <w:t>podoksim</w:t>
      </w:r>
      <w:proofErr w:type="spellEnd"/>
      <w:r w:rsidR="0040602E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proofErr w:type="spellStart"/>
      <w:r w:rsidR="0040602E" w:rsidRPr="001156AA">
        <w:rPr>
          <w:rFonts w:ascii="Times New Roman" w:eastAsia="TimesNewRoman,Bold" w:hAnsi="Times New Roman" w:cs="Times New Roman"/>
          <w:bCs/>
          <w:sz w:val="24"/>
          <w:szCs w:val="24"/>
        </w:rPr>
        <w:t>proksetil</w:t>
      </w:r>
      <w:proofErr w:type="spellEnd"/>
      <w:r w:rsidR="0040602E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pek çok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="0040602E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çalışma ile 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küçük (ç</w:t>
      </w:r>
      <w:r w:rsidR="003F0FF7" w:rsidRPr="001156AA">
        <w:rPr>
          <w:rFonts w:ascii="Times New Roman" w:eastAsia="TimesNewRoman,Bold" w:hAnsi="Times New Roman" w:cs="Times New Roman"/>
          <w:bCs/>
          <w:sz w:val="24"/>
          <w:szCs w:val="24"/>
        </w:rPr>
        <w:t>ocuk) sıçan ve köpeklerde ve ayrı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ca çoğalma üzerine etkisi bakımından da incelenmiştir. Hiçbir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advers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etkiye rastlanmamıştır ve sonu</w:t>
      </w:r>
      <w:r w:rsidR="003F0FF7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çlar </w:t>
      </w:r>
      <w:proofErr w:type="spellStart"/>
      <w:r w:rsidR="003F0FF7"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sefpodoksimin</w:t>
      </w:r>
      <w:proofErr w:type="spellEnd"/>
      <w:r w:rsidR="003F0FF7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çocuklarda kli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nik kullanımını onaylamaktadır.</w:t>
      </w:r>
    </w:p>
    <w:p w:rsidR="003F0FF7" w:rsidRPr="001156AA" w:rsidRDefault="003F0FF7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3E7C2C" w:rsidRPr="001156AA" w:rsidRDefault="003E7C2C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4A630D" w:rsidRPr="001156AA" w:rsidRDefault="004A630D" w:rsidP="00666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3F0FF7" w:rsidRPr="001156AA" w:rsidRDefault="003F0FF7" w:rsidP="003F0F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lastRenderedPageBreak/>
        <w:t>6.</w:t>
      </w: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ab/>
        <w:t>FARMASÖTİK ÖZELLİKLER</w:t>
      </w:r>
    </w:p>
    <w:p w:rsidR="003F0FF7" w:rsidRPr="001156AA" w:rsidRDefault="003F0FF7" w:rsidP="003F0F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6.1.</w:t>
      </w: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ab/>
        <w:t>Yardımcı maddelerin listesi</w:t>
      </w:r>
    </w:p>
    <w:p w:rsidR="003F0FF7" w:rsidRPr="001156AA" w:rsidRDefault="003F0FF7" w:rsidP="003F0F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Karboksimetilselüloz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Kalsiyum</w:t>
      </w:r>
    </w:p>
    <w:p w:rsidR="003F0FF7" w:rsidRPr="001156AA" w:rsidRDefault="003F0FF7" w:rsidP="003F0F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Çapraz Bağlı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Karboksimetilselüloz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Sodyum </w:t>
      </w:r>
    </w:p>
    <w:p w:rsidR="003F0FF7" w:rsidRPr="001156AA" w:rsidRDefault="003F0FF7" w:rsidP="003F0F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Sodyum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Lauril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Sülfat</w:t>
      </w:r>
    </w:p>
    <w:p w:rsidR="003F0FF7" w:rsidRPr="001156AA" w:rsidRDefault="003F0FF7" w:rsidP="003F0F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Hidroksipropilselüloz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</w:p>
    <w:p w:rsidR="00FC6ACE" w:rsidRPr="001156AA" w:rsidRDefault="00FC6ACE" w:rsidP="003F0F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Laktoz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monohidrat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     </w:t>
      </w:r>
    </w:p>
    <w:p w:rsidR="003F0FF7" w:rsidRPr="001156AA" w:rsidRDefault="003F0FF7" w:rsidP="003F0F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Magnezyum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Stearat</w:t>
      </w:r>
      <w:proofErr w:type="spellEnd"/>
    </w:p>
    <w:p w:rsidR="003F0FF7" w:rsidRPr="001156AA" w:rsidRDefault="003F0FF7" w:rsidP="003F0F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Opadry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Beyaz Y-1-7000</w:t>
      </w:r>
      <w:r w:rsidR="0084313E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(</w:t>
      </w:r>
      <w:proofErr w:type="spellStart"/>
      <w:r w:rsidR="0084313E" w:rsidRPr="001156AA">
        <w:rPr>
          <w:rFonts w:ascii="Times New Roman" w:eastAsia="TimesNewRoman,Bold" w:hAnsi="Times New Roman" w:cs="Times New Roman"/>
          <w:bCs/>
          <w:sz w:val="24"/>
          <w:szCs w:val="24"/>
        </w:rPr>
        <w:t>hipromelloz</w:t>
      </w:r>
      <w:proofErr w:type="spellEnd"/>
      <w:r w:rsidR="0084313E" w:rsidRPr="001156AA">
        <w:rPr>
          <w:rFonts w:ascii="Times New Roman" w:eastAsia="TimesNewRoman,Bold" w:hAnsi="Times New Roman" w:cs="Times New Roman"/>
          <w:bCs/>
          <w:sz w:val="24"/>
          <w:szCs w:val="24"/>
        </w:rPr>
        <w:t>, titanyum dioksit, polietilen glikol)</w:t>
      </w:r>
    </w:p>
    <w:p w:rsidR="003F0FF7" w:rsidRPr="001156AA" w:rsidRDefault="003F0FF7" w:rsidP="003F0F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3F0FF7" w:rsidRPr="001156AA" w:rsidRDefault="003F0FF7" w:rsidP="003F0F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6.2.</w:t>
      </w: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ab/>
        <w:t>Geçimsizlikler</w:t>
      </w:r>
    </w:p>
    <w:p w:rsidR="003F0FF7" w:rsidRPr="001156AA" w:rsidRDefault="003F0FF7" w:rsidP="003F0F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Bilinen bir geçimsizlik yoktur.</w:t>
      </w:r>
    </w:p>
    <w:p w:rsidR="003F0FF7" w:rsidRPr="001156AA" w:rsidRDefault="003F0FF7" w:rsidP="003F0F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3F0FF7" w:rsidRPr="001156AA" w:rsidRDefault="003F0FF7" w:rsidP="003F0F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6.3.</w:t>
      </w: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ab/>
        <w:t>Raf ömrü</w:t>
      </w:r>
    </w:p>
    <w:p w:rsidR="003F0FF7" w:rsidRPr="001156AA" w:rsidRDefault="003F0FF7" w:rsidP="003F0F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24 ay</w:t>
      </w:r>
    </w:p>
    <w:p w:rsidR="003F0FF7" w:rsidRPr="001156AA" w:rsidRDefault="003F0FF7" w:rsidP="003F0F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3F0FF7" w:rsidRPr="001156AA" w:rsidRDefault="003F0FF7" w:rsidP="003F0F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6.4.</w:t>
      </w: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ab/>
        <w:t>Saklamaya yönelik özel tedbirler</w:t>
      </w:r>
    </w:p>
    <w:p w:rsidR="003F0FF7" w:rsidRPr="001156AA" w:rsidRDefault="003F0FF7" w:rsidP="003F0F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25°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C'nin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altındaki oda sıcaklığında, kuru yerde ve ambalajında saklayınız.</w:t>
      </w:r>
    </w:p>
    <w:p w:rsidR="003F0FF7" w:rsidRPr="001156AA" w:rsidRDefault="003F0FF7" w:rsidP="003F0F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3F0FF7" w:rsidRPr="001156AA" w:rsidRDefault="003F0FF7" w:rsidP="003F0F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6.5.</w:t>
      </w: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ab/>
        <w:t>Ambalajın niteliği ve içeriği</w:t>
      </w:r>
    </w:p>
    <w:p w:rsidR="003F0FF7" w:rsidRPr="001156AA" w:rsidRDefault="00555A81" w:rsidP="003F0F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SEFTECH</w:t>
      </w:r>
      <w:r w:rsidR="003F0FF7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200 mg, 15 ve 20 film tablet şeklinde, alüminyum - alüminyum </w:t>
      </w:r>
      <w:proofErr w:type="spellStart"/>
      <w:r w:rsidR="003F0FF7" w:rsidRPr="001156AA">
        <w:rPr>
          <w:rFonts w:ascii="Times New Roman" w:eastAsia="TimesNewRoman,Bold" w:hAnsi="Times New Roman" w:cs="Times New Roman"/>
          <w:bCs/>
          <w:sz w:val="24"/>
          <w:szCs w:val="24"/>
        </w:rPr>
        <w:t>blister</w:t>
      </w:r>
      <w:proofErr w:type="spellEnd"/>
      <w:r w:rsidR="003F0FF7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içerisinde ambalajlanmıştır.</w:t>
      </w:r>
    </w:p>
    <w:p w:rsidR="003F0FF7" w:rsidRPr="001156AA" w:rsidRDefault="003F0FF7" w:rsidP="003F0F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3F0FF7" w:rsidRPr="001156AA" w:rsidRDefault="003F0FF7" w:rsidP="003F0F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6.6.</w:t>
      </w: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ab/>
        <w:t>Beşeri tıbbi üründen arta kalan maddelerin imhası ve diğer özel önlemler</w:t>
      </w:r>
    </w:p>
    <w:p w:rsidR="003F0FF7" w:rsidRPr="001156AA" w:rsidRDefault="003F0FF7" w:rsidP="003F0F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Kullanılmamış olan ürünler ya da atık materyaller "Tıbbi Atıkların Kontrolü Yönetmeliği" ve "Ambalaj </w:t>
      </w:r>
      <w:r w:rsidR="00EE03B4"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ve Ambalaj </w:t>
      </w: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Atıklarının Kontrolü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Yönetmelik"lerine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uygun olarak imha edilmelidir.</w:t>
      </w:r>
    </w:p>
    <w:p w:rsidR="003F0FF7" w:rsidRPr="001156AA" w:rsidRDefault="003F0FF7" w:rsidP="003F0F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3F0FF7" w:rsidRPr="001156AA" w:rsidRDefault="003F0FF7" w:rsidP="003F0F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7.</w:t>
      </w: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ab/>
        <w:t>RUHSAT SAHİBİ</w:t>
      </w:r>
    </w:p>
    <w:p w:rsidR="003F0FF7" w:rsidRPr="001156AA" w:rsidRDefault="003F0FF7" w:rsidP="003F0F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Deva Holding A.Ş.</w:t>
      </w:r>
    </w:p>
    <w:p w:rsidR="003F0FF7" w:rsidRPr="001156AA" w:rsidRDefault="003F0FF7" w:rsidP="003F0F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Halkalı Merkez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Mah.Basın</w:t>
      </w:r>
      <w:proofErr w:type="spell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Ekspres Cad.</w:t>
      </w:r>
    </w:p>
    <w:p w:rsidR="003F0FF7" w:rsidRPr="001156AA" w:rsidRDefault="003F0FF7" w:rsidP="003F0F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No: </w:t>
      </w:r>
      <w:proofErr w:type="gram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1  34303</w:t>
      </w:r>
      <w:proofErr w:type="gramEnd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 Küçükçekmece – İstanbul </w:t>
      </w:r>
    </w:p>
    <w:p w:rsidR="003F0FF7" w:rsidRPr="001156AA" w:rsidRDefault="003F0FF7" w:rsidP="003F0F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 xml:space="preserve">Tel: 0 212 692 92 </w:t>
      </w:r>
      <w:proofErr w:type="spellStart"/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92</w:t>
      </w:r>
      <w:proofErr w:type="spellEnd"/>
    </w:p>
    <w:p w:rsidR="003F0FF7" w:rsidRPr="001156AA" w:rsidRDefault="003F0FF7" w:rsidP="003F0F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3E7C2C" w:rsidRPr="001156AA" w:rsidRDefault="003E7C2C" w:rsidP="003F0F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3E7C2C" w:rsidRPr="001156AA" w:rsidRDefault="003E7C2C" w:rsidP="003F0F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p w:rsidR="003F0FF7" w:rsidRPr="001156AA" w:rsidRDefault="003F0FF7" w:rsidP="003F0F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8.</w:t>
      </w: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ab/>
        <w:t>RUHSAT NUMARASI</w:t>
      </w:r>
    </w:p>
    <w:p w:rsidR="003F0FF7" w:rsidRPr="001156AA" w:rsidRDefault="007F473B" w:rsidP="008F4D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241/79</w:t>
      </w:r>
    </w:p>
    <w:p w:rsidR="003F0FF7" w:rsidRPr="001156AA" w:rsidRDefault="003F0FF7" w:rsidP="003F0F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9.</w:t>
      </w: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ab/>
        <w:t>İLK RUHSAT TARİHİ/RUHSAT YENİLEME TARİHİ</w:t>
      </w:r>
    </w:p>
    <w:p w:rsidR="003F0FF7" w:rsidRPr="001156AA" w:rsidRDefault="00D32C5B" w:rsidP="008F4D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Cs/>
          <w:sz w:val="24"/>
          <w:szCs w:val="24"/>
        </w:rPr>
        <w:t>20</w:t>
      </w:r>
      <w:r w:rsidR="008F4DE2" w:rsidRPr="001156AA">
        <w:rPr>
          <w:rFonts w:ascii="Times New Roman" w:eastAsia="TimesNewRoman,Bold" w:hAnsi="Times New Roman" w:cs="Times New Roman"/>
          <w:bCs/>
          <w:sz w:val="24"/>
          <w:szCs w:val="24"/>
        </w:rPr>
        <w:t>.04.2012</w:t>
      </w:r>
    </w:p>
    <w:p w:rsidR="003F0FF7" w:rsidRPr="001156AA" w:rsidRDefault="003F0FF7" w:rsidP="003F0F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>10.</w:t>
      </w:r>
      <w:r w:rsidRPr="001156AA">
        <w:rPr>
          <w:rFonts w:ascii="Times New Roman" w:eastAsia="TimesNewRoman,Bold" w:hAnsi="Times New Roman" w:cs="Times New Roman"/>
          <w:b/>
          <w:bCs/>
          <w:sz w:val="24"/>
          <w:szCs w:val="24"/>
        </w:rPr>
        <w:tab/>
        <w:t>KÜB'ÜN YENİLENME TARİHİ</w:t>
      </w:r>
    </w:p>
    <w:p w:rsidR="00B8431B" w:rsidRPr="001156AA" w:rsidRDefault="00B8431B" w:rsidP="003F0F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</w:p>
    <w:sectPr w:rsidR="00B8431B" w:rsidRPr="001156AA" w:rsidSect="0090485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22C" w:rsidRDefault="00BF622C" w:rsidP="004304F1">
      <w:pPr>
        <w:spacing w:after="0" w:line="240" w:lineRule="auto"/>
      </w:pPr>
      <w:r>
        <w:separator/>
      </w:r>
    </w:p>
  </w:endnote>
  <w:endnote w:type="continuationSeparator" w:id="0">
    <w:p w:rsidR="00BF622C" w:rsidRDefault="00BF622C" w:rsidP="00430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10740"/>
      <w:docPartObj>
        <w:docPartGallery w:val="Page Numbers (Bottom of Page)"/>
        <w:docPartUnique/>
      </w:docPartObj>
    </w:sdtPr>
    <w:sdtContent>
      <w:p w:rsidR="003A0788" w:rsidRDefault="005632A8" w:rsidP="00EE03B4">
        <w:pPr>
          <w:pStyle w:val="Altbilgi"/>
          <w:jc w:val="right"/>
        </w:pPr>
        <w:r w:rsidRPr="006235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A0788" w:rsidRPr="0062358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235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156AA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623581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9B5D92">
          <w:rPr>
            <w:rFonts w:ascii="Times New Roman" w:hAnsi="Times New Roman" w:cs="Times New Roman"/>
            <w:sz w:val="24"/>
            <w:szCs w:val="24"/>
          </w:rPr>
          <w:t>/12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22C" w:rsidRDefault="00BF622C" w:rsidP="004304F1">
      <w:pPr>
        <w:spacing w:after="0" w:line="240" w:lineRule="auto"/>
      </w:pPr>
      <w:r>
        <w:separator/>
      </w:r>
    </w:p>
  </w:footnote>
  <w:footnote w:type="continuationSeparator" w:id="0">
    <w:p w:rsidR="00BF622C" w:rsidRDefault="00BF622C" w:rsidP="00430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7CC3BA"/>
    <w:lvl w:ilvl="0">
      <w:numFmt w:val="bullet"/>
      <w:lvlText w:val="*"/>
      <w:lvlJc w:val="left"/>
    </w:lvl>
  </w:abstractNum>
  <w:abstractNum w:abstractNumId="1">
    <w:nsid w:val="0E9C29E6"/>
    <w:multiLevelType w:val="hybridMultilevel"/>
    <w:tmpl w:val="373A20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1195F"/>
    <w:multiLevelType w:val="hybridMultilevel"/>
    <w:tmpl w:val="225811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815D1"/>
    <w:multiLevelType w:val="hybridMultilevel"/>
    <w:tmpl w:val="046054EA"/>
    <w:lvl w:ilvl="0" w:tplc="1DB4F95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95860"/>
    <w:multiLevelType w:val="hybridMultilevel"/>
    <w:tmpl w:val="4AA4E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2F6F19"/>
    <w:multiLevelType w:val="hybridMultilevel"/>
    <w:tmpl w:val="9D74DE7C"/>
    <w:lvl w:ilvl="0" w:tplc="1DB4F95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07"/>
        <w:lvlJc w:val="left"/>
        <w:rPr>
          <w:rFonts w:ascii="Arial" w:hAnsi="Arial" w:cs="Arial" w:hint="default"/>
        </w:rPr>
      </w:lvl>
    </w:lvlOverride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Verdana" w:hAnsi="Verdana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Verdana" w:hAnsi="Verdana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Verdana" w:hAnsi="Verdana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Verdana" w:hAnsi="Verdana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Verdana" w:hAnsi="Verdana" w:hint="default"/>
        </w:rPr>
      </w:lvl>
    </w:lvlOverride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85D"/>
    <w:rsid w:val="00000BF1"/>
    <w:rsid w:val="000375C0"/>
    <w:rsid w:val="00042EC0"/>
    <w:rsid w:val="00052D1A"/>
    <w:rsid w:val="0007485D"/>
    <w:rsid w:val="00076C79"/>
    <w:rsid w:val="00084D10"/>
    <w:rsid w:val="000935F7"/>
    <w:rsid w:val="00093B21"/>
    <w:rsid w:val="00097162"/>
    <w:rsid w:val="000A6DE4"/>
    <w:rsid w:val="000C7524"/>
    <w:rsid w:val="000E0C8A"/>
    <w:rsid w:val="000F138D"/>
    <w:rsid w:val="001156AA"/>
    <w:rsid w:val="00115BDB"/>
    <w:rsid w:val="00151E25"/>
    <w:rsid w:val="00153C43"/>
    <w:rsid w:val="00173175"/>
    <w:rsid w:val="00173B16"/>
    <w:rsid w:val="001A2972"/>
    <w:rsid w:val="001B2FCD"/>
    <w:rsid w:val="001B5380"/>
    <w:rsid w:val="001F2592"/>
    <w:rsid w:val="00222C71"/>
    <w:rsid w:val="002338CE"/>
    <w:rsid w:val="0024602D"/>
    <w:rsid w:val="002530AD"/>
    <w:rsid w:val="002662FB"/>
    <w:rsid w:val="00272D1B"/>
    <w:rsid w:val="002A51C4"/>
    <w:rsid w:val="002B1869"/>
    <w:rsid w:val="002B30CA"/>
    <w:rsid w:val="002B3C9F"/>
    <w:rsid w:val="002D49B2"/>
    <w:rsid w:val="002E3504"/>
    <w:rsid w:val="002F1F14"/>
    <w:rsid w:val="002F2A8D"/>
    <w:rsid w:val="002F2F3D"/>
    <w:rsid w:val="002F6B41"/>
    <w:rsid w:val="00312426"/>
    <w:rsid w:val="00321F90"/>
    <w:rsid w:val="00327E9A"/>
    <w:rsid w:val="00337DC9"/>
    <w:rsid w:val="00396B3B"/>
    <w:rsid w:val="003A0788"/>
    <w:rsid w:val="003C0A50"/>
    <w:rsid w:val="003C637A"/>
    <w:rsid w:val="003D4957"/>
    <w:rsid w:val="003D5853"/>
    <w:rsid w:val="003D5D91"/>
    <w:rsid w:val="003E7C2C"/>
    <w:rsid w:val="003F0FF7"/>
    <w:rsid w:val="003F138F"/>
    <w:rsid w:val="003F3149"/>
    <w:rsid w:val="004017CD"/>
    <w:rsid w:val="0040602E"/>
    <w:rsid w:val="0042091C"/>
    <w:rsid w:val="004213E3"/>
    <w:rsid w:val="004304F1"/>
    <w:rsid w:val="00431B7A"/>
    <w:rsid w:val="0044413E"/>
    <w:rsid w:val="00456A9B"/>
    <w:rsid w:val="00495569"/>
    <w:rsid w:val="00496F3A"/>
    <w:rsid w:val="004A0959"/>
    <w:rsid w:val="004A630D"/>
    <w:rsid w:val="004C3978"/>
    <w:rsid w:val="004C610F"/>
    <w:rsid w:val="004C72D7"/>
    <w:rsid w:val="004C7C0E"/>
    <w:rsid w:val="004D0414"/>
    <w:rsid w:val="004D3417"/>
    <w:rsid w:val="004E10BE"/>
    <w:rsid w:val="004E4D71"/>
    <w:rsid w:val="00500B13"/>
    <w:rsid w:val="005170EB"/>
    <w:rsid w:val="00535A4B"/>
    <w:rsid w:val="00545921"/>
    <w:rsid w:val="00545E87"/>
    <w:rsid w:val="00555A81"/>
    <w:rsid w:val="005632A8"/>
    <w:rsid w:val="005A6B39"/>
    <w:rsid w:val="005D4E1A"/>
    <w:rsid w:val="005D52A5"/>
    <w:rsid w:val="005D6F5E"/>
    <w:rsid w:val="005D7D47"/>
    <w:rsid w:val="005F6698"/>
    <w:rsid w:val="00601A58"/>
    <w:rsid w:val="006124C3"/>
    <w:rsid w:val="00612E24"/>
    <w:rsid w:val="00620BF6"/>
    <w:rsid w:val="00620F21"/>
    <w:rsid w:val="00623581"/>
    <w:rsid w:val="0062521C"/>
    <w:rsid w:val="0063110C"/>
    <w:rsid w:val="006326CC"/>
    <w:rsid w:val="0065357F"/>
    <w:rsid w:val="006553CA"/>
    <w:rsid w:val="00661B51"/>
    <w:rsid w:val="00666E19"/>
    <w:rsid w:val="006A15EB"/>
    <w:rsid w:val="006A163F"/>
    <w:rsid w:val="006A188B"/>
    <w:rsid w:val="006C25D7"/>
    <w:rsid w:val="006F22AB"/>
    <w:rsid w:val="00703462"/>
    <w:rsid w:val="00711766"/>
    <w:rsid w:val="007215F5"/>
    <w:rsid w:val="00730BAC"/>
    <w:rsid w:val="00762117"/>
    <w:rsid w:val="007664A4"/>
    <w:rsid w:val="00790709"/>
    <w:rsid w:val="007A7B04"/>
    <w:rsid w:val="007D4E43"/>
    <w:rsid w:val="007F473B"/>
    <w:rsid w:val="008370AE"/>
    <w:rsid w:val="0084313E"/>
    <w:rsid w:val="00855674"/>
    <w:rsid w:val="00864691"/>
    <w:rsid w:val="00873906"/>
    <w:rsid w:val="008C2DF6"/>
    <w:rsid w:val="008C5A51"/>
    <w:rsid w:val="008F06ED"/>
    <w:rsid w:val="008F4DE2"/>
    <w:rsid w:val="00903E81"/>
    <w:rsid w:val="0090485A"/>
    <w:rsid w:val="00920BC9"/>
    <w:rsid w:val="0092345D"/>
    <w:rsid w:val="00933B1D"/>
    <w:rsid w:val="00946758"/>
    <w:rsid w:val="00951550"/>
    <w:rsid w:val="00954005"/>
    <w:rsid w:val="00961E77"/>
    <w:rsid w:val="00967951"/>
    <w:rsid w:val="00981B6D"/>
    <w:rsid w:val="009879E4"/>
    <w:rsid w:val="009905F3"/>
    <w:rsid w:val="009B055E"/>
    <w:rsid w:val="009B5D92"/>
    <w:rsid w:val="009D770B"/>
    <w:rsid w:val="009D7740"/>
    <w:rsid w:val="009E552D"/>
    <w:rsid w:val="009F3E0F"/>
    <w:rsid w:val="009F4066"/>
    <w:rsid w:val="00A06C63"/>
    <w:rsid w:val="00A10759"/>
    <w:rsid w:val="00A25B4C"/>
    <w:rsid w:val="00A83098"/>
    <w:rsid w:val="00A938D7"/>
    <w:rsid w:val="00AD020C"/>
    <w:rsid w:val="00B21313"/>
    <w:rsid w:val="00B4352B"/>
    <w:rsid w:val="00B7142F"/>
    <w:rsid w:val="00B833CF"/>
    <w:rsid w:val="00B8431B"/>
    <w:rsid w:val="00B879CD"/>
    <w:rsid w:val="00BF622C"/>
    <w:rsid w:val="00C30C58"/>
    <w:rsid w:val="00C52005"/>
    <w:rsid w:val="00C53362"/>
    <w:rsid w:val="00C7064C"/>
    <w:rsid w:val="00C9531E"/>
    <w:rsid w:val="00CB3568"/>
    <w:rsid w:val="00CB3EF6"/>
    <w:rsid w:val="00D1708E"/>
    <w:rsid w:val="00D2563D"/>
    <w:rsid w:val="00D32C5B"/>
    <w:rsid w:val="00D41764"/>
    <w:rsid w:val="00D50D36"/>
    <w:rsid w:val="00D83EFF"/>
    <w:rsid w:val="00D86EB7"/>
    <w:rsid w:val="00DA64DD"/>
    <w:rsid w:val="00DB4819"/>
    <w:rsid w:val="00DC4F6E"/>
    <w:rsid w:val="00DD6564"/>
    <w:rsid w:val="00DD7200"/>
    <w:rsid w:val="00E03EF7"/>
    <w:rsid w:val="00E04E58"/>
    <w:rsid w:val="00E11551"/>
    <w:rsid w:val="00E13D15"/>
    <w:rsid w:val="00E20EBD"/>
    <w:rsid w:val="00E30E6F"/>
    <w:rsid w:val="00E446F5"/>
    <w:rsid w:val="00E50606"/>
    <w:rsid w:val="00E76197"/>
    <w:rsid w:val="00E87BFA"/>
    <w:rsid w:val="00EE03B4"/>
    <w:rsid w:val="00EE2118"/>
    <w:rsid w:val="00EF6259"/>
    <w:rsid w:val="00F111B3"/>
    <w:rsid w:val="00F46E00"/>
    <w:rsid w:val="00F523B0"/>
    <w:rsid w:val="00F826D6"/>
    <w:rsid w:val="00FC6ACE"/>
    <w:rsid w:val="00FC7181"/>
    <w:rsid w:val="00FD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E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7485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430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304F1"/>
  </w:style>
  <w:style w:type="paragraph" w:styleId="Altbilgi">
    <w:name w:val="footer"/>
    <w:basedOn w:val="Normal"/>
    <w:link w:val="AltbilgiChar"/>
    <w:uiPriority w:val="99"/>
    <w:unhideWhenUsed/>
    <w:rsid w:val="00430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304F1"/>
  </w:style>
  <w:style w:type="table" w:styleId="TabloKlavuzu">
    <w:name w:val="Table Grid"/>
    <w:basedOn w:val="NormalTablo"/>
    <w:uiPriority w:val="59"/>
    <w:rsid w:val="002A51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basedOn w:val="VarsaylanParagrafYazTipi"/>
    <w:uiPriority w:val="20"/>
    <w:qFormat/>
    <w:rsid w:val="008C2DF6"/>
    <w:rPr>
      <w:b/>
      <w:bCs/>
      <w:i w:val="0"/>
      <w:iCs w:val="0"/>
    </w:rPr>
  </w:style>
  <w:style w:type="paragraph" w:customStyle="1" w:styleId="Style2">
    <w:name w:val="Style2"/>
    <w:basedOn w:val="Normal"/>
    <w:uiPriority w:val="99"/>
    <w:rsid w:val="00666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23">
    <w:name w:val="Font Style23"/>
    <w:basedOn w:val="VarsaylanParagrafYazTipi"/>
    <w:uiPriority w:val="99"/>
    <w:rsid w:val="00666E1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4">
    <w:name w:val="Font Style24"/>
    <w:basedOn w:val="VarsaylanParagrafYazTipi"/>
    <w:uiPriority w:val="99"/>
    <w:rsid w:val="00666E1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666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6">
    <w:name w:val="Style6"/>
    <w:basedOn w:val="Normal"/>
    <w:uiPriority w:val="99"/>
    <w:rsid w:val="003F0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11">
    <w:name w:val="Style11"/>
    <w:basedOn w:val="Normal"/>
    <w:uiPriority w:val="99"/>
    <w:rsid w:val="003F0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25">
    <w:name w:val="Font Style25"/>
    <w:basedOn w:val="VarsaylanParagrafYazTipi"/>
    <w:uiPriority w:val="99"/>
    <w:rsid w:val="003F0FF7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6">
    <w:name w:val="Font Style26"/>
    <w:basedOn w:val="VarsaylanParagrafYazTipi"/>
    <w:uiPriority w:val="99"/>
    <w:rsid w:val="003F0FF7"/>
    <w:rPr>
      <w:rFonts w:ascii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l.dak~Vl.7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ml.dak~Vl.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l.dak~Vl.73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A59A5-5A17-4E5D-9EEC-51F4E333C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2983</Words>
  <Characters>17008</Characters>
  <Application>Microsoft Office Word</Application>
  <DocSecurity>0</DocSecurity>
  <Lines>141</Lines>
  <Paragraphs>39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Deva Holding A.S.</Company>
  <LinksUpToDate>false</LinksUpToDate>
  <CharactersWithSpaces>19952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osemiz</dc:creator>
  <cp:keywords/>
  <dc:description/>
  <cp:lastModifiedBy>ebellikan</cp:lastModifiedBy>
  <cp:revision>9</cp:revision>
  <cp:lastPrinted>2012-04-02T11:53:00Z</cp:lastPrinted>
  <dcterms:created xsi:type="dcterms:W3CDTF">2012-04-27T05:25:00Z</dcterms:created>
  <dcterms:modified xsi:type="dcterms:W3CDTF">2014-10-16T12:28:00Z</dcterms:modified>
</cp:coreProperties>
</file>