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83" w:rsidRPr="00400E89" w:rsidRDefault="008D3A83" w:rsidP="005F52C8">
      <w:pPr>
        <w:pStyle w:val="Style6"/>
        <w:widowControl/>
        <w:spacing w:line="360" w:lineRule="auto"/>
        <w:jc w:val="center"/>
        <w:rPr>
          <w:rStyle w:val="FontStyle26"/>
          <w:color w:val="auto"/>
          <w:sz w:val="24"/>
          <w:szCs w:val="24"/>
        </w:rPr>
      </w:pPr>
      <w:r w:rsidRPr="00400E89">
        <w:rPr>
          <w:rStyle w:val="FontStyle26"/>
          <w:color w:val="auto"/>
          <w:sz w:val="24"/>
          <w:szCs w:val="24"/>
        </w:rPr>
        <w:t>KISA ÜRÜN BİLGİSİ</w:t>
      </w:r>
    </w:p>
    <w:p w:rsidR="00DB7283" w:rsidRPr="00400E89" w:rsidRDefault="00DB7283" w:rsidP="005F52C8">
      <w:pPr>
        <w:pStyle w:val="Style6"/>
        <w:widowControl/>
        <w:spacing w:line="360" w:lineRule="auto"/>
        <w:jc w:val="center"/>
        <w:rPr>
          <w:rStyle w:val="FontStyle26"/>
          <w:color w:val="auto"/>
          <w:sz w:val="24"/>
          <w:szCs w:val="24"/>
        </w:rPr>
      </w:pPr>
    </w:p>
    <w:p w:rsidR="008D3A83" w:rsidRPr="00400E89" w:rsidRDefault="00A606AB" w:rsidP="00A606AB">
      <w:pPr>
        <w:pStyle w:val="Style4"/>
        <w:widowControl/>
        <w:spacing w:line="360" w:lineRule="auto"/>
        <w:jc w:val="both"/>
        <w:rPr>
          <w:rStyle w:val="FontStyle26"/>
          <w:color w:val="auto"/>
          <w:sz w:val="24"/>
          <w:szCs w:val="24"/>
        </w:rPr>
      </w:pPr>
      <w:r w:rsidRPr="00400E89">
        <w:rPr>
          <w:rStyle w:val="FontStyle26"/>
          <w:color w:val="auto"/>
          <w:sz w:val="24"/>
          <w:szCs w:val="24"/>
        </w:rPr>
        <w:t>1.</w:t>
      </w:r>
      <w:r w:rsidRPr="00400E89">
        <w:rPr>
          <w:rStyle w:val="FontStyle26"/>
          <w:color w:val="auto"/>
          <w:sz w:val="24"/>
          <w:szCs w:val="24"/>
        </w:rPr>
        <w:tab/>
      </w:r>
      <w:r w:rsidR="008D3A83" w:rsidRPr="00400E89">
        <w:rPr>
          <w:rStyle w:val="FontStyle26"/>
          <w:color w:val="auto"/>
          <w:sz w:val="24"/>
          <w:szCs w:val="24"/>
        </w:rPr>
        <w:t>BEŞERİ TIBBİ ÜRÜNÜN ADI</w:t>
      </w:r>
    </w:p>
    <w:p w:rsidR="008D3A83" w:rsidRPr="00400E89" w:rsidRDefault="00237564" w:rsidP="005F52C8">
      <w:pPr>
        <w:pStyle w:val="Style12"/>
        <w:spacing w:line="360" w:lineRule="auto"/>
        <w:jc w:val="both"/>
      </w:pPr>
      <w:r w:rsidRPr="00400E89">
        <w:rPr>
          <w:rStyle w:val="FontStyle24"/>
          <w:color w:val="auto"/>
          <w:sz w:val="24"/>
          <w:szCs w:val="24"/>
        </w:rPr>
        <w:t>SEFTECH</w:t>
      </w:r>
      <w:r w:rsidR="008D3A83" w:rsidRPr="00400E89">
        <w:rPr>
          <w:rStyle w:val="FontStyle23"/>
          <w:color w:val="auto"/>
          <w:sz w:val="24"/>
          <w:szCs w:val="24"/>
        </w:rPr>
        <w:t xml:space="preserve"> </w:t>
      </w:r>
      <w:r w:rsidR="00A51BAA" w:rsidRPr="00400E89">
        <w:t>10</w:t>
      </w:r>
      <w:r w:rsidR="006D3750" w:rsidRPr="00400E89">
        <w:t>0</w:t>
      </w:r>
      <w:r w:rsidR="007D7E35" w:rsidRPr="00400E89">
        <w:t xml:space="preserve"> mg/5 ml oral süspansiyon hazırlamak için kuru toz</w:t>
      </w:r>
    </w:p>
    <w:p w:rsidR="00DB7283" w:rsidRPr="00400E89" w:rsidRDefault="00DB7283" w:rsidP="005F52C8">
      <w:pPr>
        <w:pStyle w:val="Style12"/>
        <w:spacing w:line="360" w:lineRule="auto"/>
        <w:jc w:val="both"/>
      </w:pPr>
    </w:p>
    <w:p w:rsidR="00421480" w:rsidRPr="00400E89" w:rsidRDefault="00A606AB" w:rsidP="005F52C8">
      <w:pPr>
        <w:pStyle w:val="Style4"/>
        <w:widowControl/>
        <w:spacing w:line="360" w:lineRule="auto"/>
        <w:jc w:val="both"/>
        <w:rPr>
          <w:rStyle w:val="FontStyle26"/>
          <w:color w:val="auto"/>
          <w:sz w:val="24"/>
          <w:szCs w:val="24"/>
        </w:rPr>
      </w:pPr>
      <w:r w:rsidRPr="00400E89">
        <w:rPr>
          <w:rStyle w:val="FontStyle26"/>
          <w:color w:val="auto"/>
          <w:sz w:val="24"/>
          <w:szCs w:val="24"/>
        </w:rPr>
        <w:t>2.</w:t>
      </w:r>
      <w:r w:rsidRPr="00400E89">
        <w:rPr>
          <w:rStyle w:val="FontStyle26"/>
          <w:color w:val="auto"/>
          <w:sz w:val="24"/>
          <w:szCs w:val="24"/>
        </w:rPr>
        <w:tab/>
      </w:r>
      <w:r w:rsidR="008D3A83" w:rsidRPr="00400E89">
        <w:rPr>
          <w:rStyle w:val="FontStyle26"/>
          <w:color w:val="auto"/>
          <w:sz w:val="24"/>
          <w:szCs w:val="24"/>
        </w:rPr>
        <w:t xml:space="preserve">KALİTATİF VE KANTİTATİF BİLEŞİM </w:t>
      </w: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Etkin madde:</w:t>
      </w:r>
    </w:p>
    <w:p w:rsidR="00571828" w:rsidRPr="00400E89" w:rsidRDefault="005F52C8" w:rsidP="00571828">
      <w:pPr>
        <w:pStyle w:val="Style4"/>
        <w:widowControl/>
        <w:spacing w:line="360" w:lineRule="auto"/>
        <w:jc w:val="both"/>
        <w:rPr>
          <w:rStyle w:val="FontStyle23"/>
          <w:color w:val="auto"/>
          <w:sz w:val="24"/>
          <w:szCs w:val="24"/>
        </w:rPr>
      </w:pPr>
      <w:r w:rsidRPr="00400E89">
        <w:rPr>
          <w:rStyle w:val="FontStyle26"/>
          <w:b w:val="0"/>
          <w:color w:val="auto"/>
          <w:sz w:val="24"/>
          <w:szCs w:val="24"/>
        </w:rPr>
        <w:t xml:space="preserve">Hazırlanan süspansiyonun her 5 ml’si </w:t>
      </w:r>
      <w:r w:rsidR="00282858" w:rsidRPr="00400E89">
        <w:t xml:space="preserve">100 </w:t>
      </w:r>
      <w:r w:rsidR="004D1C62" w:rsidRPr="00400E89">
        <w:t xml:space="preserve">mg </w:t>
      </w:r>
      <w:r w:rsidR="00571828" w:rsidRPr="00400E89">
        <w:t xml:space="preserve">sefpodoksime eşdeğer sefpodoksim proksetil içerir. </w:t>
      </w:r>
    </w:p>
    <w:p w:rsidR="008D3A83" w:rsidRPr="00400E89" w:rsidRDefault="008D3A83" w:rsidP="00571828">
      <w:pPr>
        <w:pStyle w:val="Style4"/>
        <w:widowControl/>
        <w:spacing w:line="360" w:lineRule="auto"/>
        <w:jc w:val="both"/>
        <w:rPr>
          <w:rStyle w:val="FontStyle26"/>
          <w:color w:val="auto"/>
          <w:sz w:val="24"/>
          <w:szCs w:val="24"/>
        </w:rPr>
      </w:pPr>
      <w:r w:rsidRPr="00400E89">
        <w:rPr>
          <w:rStyle w:val="FontStyle26"/>
          <w:color w:val="auto"/>
          <w:sz w:val="24"/>
          <w:szCs w:val="24"/>
        </w:rPr>
        <w:t>Yardımcı maddeler:</w:t>
      </w:r>
      <w:r w:rsidR="0009559C" w:rsidRPr="00400E89">
        <w:rPr>
          <w:rStyle w:val="FontStyle26"/>
          <w:color w:val="auto"/>
          <w:sz w:val="24"/>
          <w:szCs w:val="24"/>
        </w:rPr>
        <w:t xml:space="preserve"> </w:t>
      </w:r>
    </w:p>
    <w:p w:rsidR="00A606AB" w:rsidRPr="00400E89" w:rsidRDefault="00DE06B2" w:rsidP="00A606AB">
      <w:pPr>
        <w:pStyle w:val="Style2"/>
        <w:widowControl/>
        <w:spacing w:line="360" w:lineRule="auto"/>
      </w:pPr>
      <w:r w:rsidRPr="00400E89">
        <w:t>Aspartam</w:t>
      </w:r>
      <w:r w:rsidR="00C8305B" w:rsidRPr="00400E89">
        <w:tab/>
      </w:r>
      <w:r w:rsidR="00C8305B" w:rsidRPr="00400E89">
        <w:tab/>
      </w:r>
      <w:r w:rsidR="00C8305B" w:rsidRPr="00400E89">
        <w:tab/>
      </w:r>
      <w:r w:rsidR="00C8305B" w:rsidRPr="00400E89">
        <w:tab/>
        <w:t>20</w:t>
      </w:r>
      <w:r w:rsidR="00A606AB" w:rsidRPr="00400E89">
        <w:t xml:space="preserve"> mg/5 ml </w:t>
      </w:r>
    </w:p>
    <w:p w:rsidR="00C8305B" w:rsidRPr="00400E89" w:rsidRDefault="007307D9" w:rsidP="00A606AB">
      <w:pPr>
        <w:pStyle w:val="Style2"/>
        <w:widowControl/>
        <w:spacing w:line="360" w:lineRule="auto"/>
      </w:pPr>
      <w:r w:rsidRPr="00400E89">
        <w:t>Şeker</w:t>
      </w:r>
      <w:r w:rsidRPr="00400E89">
        <w:tab/>
      </w:r>
      <w:r w:rsidR="00C8305B" w:rsidRPr="00400E89">
        <w:tab/>
      </w:r>
      <w:r w:rsidR="00C8305B" w:rsidRPr="00400E89">
        <w:tab/>
      </w:r>
      <w:r w:rsidR="00C8305B" w:rsidRPr="00400E89">
        <w:tab/>
      </w:r>
      <w:r w:rsidR="00C8305B" w:rsidRPr="00400E89">
        <w:tab/>
      </w:r>
      <w:r w:rsidR="00CD0589" w:rsidRPr="00400E89">
        <w:t>3.</w:t>
      </w:r>
      <w:r w:rsidR="00744126" w:rsidRPr="00400E89">
        <w:t>1</w:t>
      </w:r>
      <w:r w:rsidR="008E7800" w:rsidRPr="00400E89">
        <w:t>00</w:t>
      </w:r>
      <w:r w:rsidR="00CD0589" w:rsidRPr="00400E89">
        <w:t>,</w:t>
      </w:r>
      <w:r w:rsidR="00765A0C" w:rsidRPr="00400E89">
        <w:t>56 m</w:t>
      </w:r>
      <w:r w:rsidR="00225C60" w:rsidRPr="00400E89">
        <w:t>g</w:t>
      </w:r>
      <w:r w:rsidR="00A606AB" w:rsidRPr="00400E89">
        <w:t>/5 ml</w:t>
      </w:r>
    </w:p>
    <w:p w:rsidR="00571828" w:rsidRPr="00400E89" w:rsidRDefault="00571828" w:rsidP="00571828">
      <w:pPr>
        <w:pStyle w:val="Style2"/>
        <w:widowControl/>
        <w:spacing w:line="360" w:lineRule="auto"/>
      </w:pPr>
      <w:r w:rsidRPr="00400E89">
        <w:t xml:space="preserve">Sodyum sitrat susuz </w:t>
      </w:r>
      <w:r w:rsidRPr="00400E89">
        <w:tab/>
      </w:r>
      <w:r w:rsidRPr="00400E89">
        <w:tab/>
      </w:r>
      <w:r w:rsidRPr="00400E89">
        <w:tab/>
        <w:t>5 mg/5 ml</w:t>
      </w:r>
    </w:p>
    <w:p w:rsidR="00571828" w:rsidRPr="00400E89" w:rsidRDefault="00571828" w:rsidP="00571828">
      <w:pPr>
        <w:pStyle w:val="Style2"/>
        <w:widowControl/>
        <w:spacing w:line="360" w:lineRule="auto"/>
      </w:pPr>
      <w:r w:rsidRPr="00400E89">
        <w:t xml:space="preserve">Sodyum lauril sülfat </w:t>
      </w:r>
      <w:r w:rsidRPr="00400E89">
        <w:tab/>
      </w:r>
      <w:r w:rsidRPr="00400E89">
        <w:tab/>
      </w:r>
      <w:r w:rsidRPr="00400E89">
        <w:tab/>
        <w:t>5 mg/5 ml</w:t>
      </w:r>
    </w:p>
    <w:p w:rsidR="00571828" w:rsidRPr="00400E89" w:rsidRDefault="00571828" w:rsidP="00571828">
      <w:pPr>
        <w:pStyle w:val="Style2"/>
        <w:widowControl/>
        <w:spacing w:line="360" w:lineRule="auto"/>
      </w:pPr>
      <w:r w:rsidRPr="00400E89">
        <w:t xml:space="preserve">Sodyum benzoat </w:t>
      </w:r>
      <w:r w:rsidRPr="00400E89">
        <w:tab/>
      </w:r>
      <w:r w:rsidRPr="00400E89">
        <w:tab/>
      </w:r>
      <w:r w:rsidRPr="00400E89">
        <w:tab/>
        <w:t>13 mg/5 ml</w:t>
      </w:r>
    </w:p>
    <w:p w:rsidR="008D3A83" w:rsidRPr="00400E89" w:rsidRDefault="008D3A83" w:rsidP="005F52C8">
      <w:pPr>
        <w:pStyle w:val="Style2"/>
        <w:widowControl/>
        <w:spacing w:line="360" w:lineRule="auto"/>
        <w:jc w:val="both"/>
        <w:rPr>
          <w:rStyle w:val="FontStyle23"/>
          <w:color w:val="auto"/>
          <w:sz w:val="24"/>
          <w:szCs w:val="24"/>
        </w:rPr>
      </w:pPr>
      <w:r w:rsidRPr="00400E89">
        <w:rPr>
          <w:rStyle w:val="FontStyle23"/>
          <w:color w:val="auto"/>
          <w:sz w:val="24"/>
          <w:szCs w:val="24"/>
        </w:rPr>
        <w:t xml:space="preserve">Yardımcı maddeler için </w:t>
      </w:r>
      <w:proofErr w:type="gramStart"/>
      <w:r w:rsidRPr="00400E89">
        <w:rPr>
          <w:rStyle w:val="FontStyle23"/>
          <w:color w:val="auto"/>
          <w:sz w:val="24"/>
          <w:szCs w:val="24"/>
        </w:rPr>
        <w:t>6.1'e</w:t>
      </w:r>
      <w:proofErr w:type="gramEnd"/>
      <w:r w:rsidRPr="00400E89">
        <w:rPr>
          <w:rStyle w:val="FontStyle23"/>
          <w:color w:val="auto"/>
          <w:sz w:val="24"/>
          <w:szCs w:val="24"/>
        </w:rPr>
        <w:t xml:space="preserve"> bakınız.</w:t>
      </w:r>
    </w:p>
    <w:p w:rsidR="00DB7283" w:rsidRPr="00400E89" w:rsidRDefault="00DB7283" w:rsidP="005F52C8">
      <w:pPr>
        <w:pStyle w:val="Style2"/>
        <w:widowControl/>
        <w:spacing w:line="360" w:lineRule="auto"/>
        <w:jc w:val="both"/>
        <w:rPr>
          <w:rStyle w:val="FontStyle23"/>
          <w:color w:val="auto"/>
          <w:sz w:val="24"/>
          <w:szCs w:val="24"/>
        </w:rPr>
      </w:pPr>
    </w:p>
    <w:p w:rsidR="008D3A83" w:rsidRPr="00400E89" w:rsidRDefault="00A606AB" w:rsidP="005F52C8">
      <w:pPr>
        <w:pStyle w:val="Style4"/>
        <w:widowControl/>
        <w:spacing w:line="360" w:lineRule="auto"/>
        <w:jc w:val="both"/>
        <w:rPr>
          <w:rStyle w:val="FontStyle26"/>
          <w:color w:val="auto"/>
          <w:sz w:val="24"/>
          <w:szCs w:val="24"/>
        </w:rPr>
      </w:pPr>
      <w:r w:rsidRPr="00400E89">
        <w:rPr>
          <w:rStyle w:val="FontStyle26"/>
          <w:color w:val="auto"/>
          <w:sz w:val="24"/>
          <w:szCs w:val="24"/>
        </w:rPr>
        <w:t>3.</w:t>
      </w:r>
      <w:r w:rsidRPr="00400E89">
        <w:rPr>
          <w:rStyle w:val="FontStyle26"/>
          <w:color w:val="auto"/>
          <w:sz w:val="24"/>
          <w:szCs w:val="24"/>
        </w:rPr>
        <w:tab/>
      </w:r>
      <w:r w:rsidR="008D3A83" w:rsidRPr="00400E89">
        <w:rPr>
          <w:rStyle w:val="FontStyle26"/>
          <w:color w:val="auto"/>
          <w:sz w:val="24"/>
          <w:szCs w:val="24"/>
        </w:rPr>
        <w:t>FARMA</w:t>
      </w:r>
      <w:r w:rsidR="00231615" w:rsidRPr="00400E89">
        <w:rPr>
          <w:rStyle w:val="FontStyle26"/>
          <w:color w:val="auto"/>
          <w:sz w:val="24"/>
          <w:szCs w:val="24"/>
        </w:rPr>
        <w:t>S</w:t>
      </w:r>
      <w:r w:rsidR="008D3A83" w:rsidRPr="00400E89">
        <w:rPr>
          <w:rStyle w:val="FontStyle26"/>
          <w:color w:val="auto"/>
          <w:sz w:val="24"/>
          <w:szCs w:val="24"/>
        </w:rPr>
        <w:t>ÖTİK FORM</w:t>
      </w:r>
    </w:p>
    <w:p w:rsidR="004D1C62" w:rsidRPr="00400E89" w:rsidRDefault="00641D6E" w:rsidP="005F52C8">
      <w:pPr>
        <w:pStyle w:val="Style4"/>
        <w:spacing w:line="360" w:lineRule="auto"/>
        <w:rPr>
          <w:bCs/>
        </w:rPr>
      </w:pPr>
      <w:r w:rsidRPr="00400E89">
        <w:rPr>
          <w:bCs/>
        </w:rPr>
        <w:t>Oral s</w:t>
      </w:r>
      <w:r w:rsidR="004D1C62" w:rsidRPr="00400E89">
        <w:rPr>
          <w:bCs/>
        </w:rPr>
        <w:t>üspansiyon toz</w:t>
      </w:r>
      <w:r w:rsidRPr="00400E89">
        <w:rPr>
          <w:bCs/>
        </w:rPr>
        <w:t>u</w:t>
      </w:r>
    </w:p>
    <w:p w:rsidR="000B7F0B" w:rsidRPr="00400E89" w:rsidRDefault="000B7F0B" w:rsidP="005F52C8">
      <w:pPr>
        <w:pStyle w:val="Style2"/>
        <w:spacing w:line="360" w:lineRule="auto"/>
      </w:pPr>
      <w:r w:rsidRPr="00400E89">
        <w:t xml:space="preserve">Beyaz-açık sarı renkli kendine </w:t>
      </w:r>
      <w:r w:rsidR="00F6412A" w:rsidRPr="00400E89">
        <w:t>özgü</w:t>
      </w:r>
      <w:r w:rsidRPr="00400E89">
        <w:t xml:space="preserve"> kokulu toz</w:t>
      </w:r>
      <w:r w:rsidR="00571828" w:rsidRPr="00400E89">
        <w:t>.</w:t>
      </w:r>
      <w:r w:rsidR="00571828" w:rsidRPr="00400E89">
        <w:rPr>
          <w:rFonts w:eastAsia="TimesNewRoman"/>
        </w:rPr>
        <w:t xml:space="preserve"> </w:t>
      </w:r>
      <w:proofErr w:type="gramStart"/>
      <w:r w:rsidR="00571828" w:rsidRPr="00400E89">
        <w:rPr>
          <w:rFonts w:eastAsia="TimesNewRoman"/>
        </w:rPr>
        <w:t>S</w:t>
      </w:r>
      <w:r w:rsidR="00571828" w:rsidRPr="00400E89">
        <w:t>ulandırıldığında aynı rengi veren süspansiyon.</w:t>
      </w:r>
      <w:proofErr w:type="gramEnd"/>
    </w:p>
    <w:p w:rsidR="00A31DA0" w:rsidRPr="00400E89" w:rsidRDefault="00A31DA0" w:rsidP="005F52C8">
      <w:pPr>
        <w:pStyle w:val="Style4"/>
        <w:widowControl/>
        <w:spacing w:line="360" w:lineRule="auto"/>
        <w:jc w:val="both"/>
        <w:rPr>
          <w:rStyle w:val="FontStyle26"/>
          <w:color w:val="auto"/>
          <w:sz w:val="24"/>
          <w:szCs w:val="24"/>
        </w:rPr>
      </w:pPr>
    </w:p>
    <w:p w:rsidR="00C8422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4.</w:t>
      </w:r>
      <w:r w:rsidR="00A606AB" w:rsidRPr="00400E89">
        <w:rPr>
          <w:rStyle w:val="FontStyle26"/>
          <w:color w:val="auto"/>
          <w:sz w:val="24"/>
          <w:szCs w:val="24"/>
        </w:rPr>
        <w:tab/>
      </w:r>
      <w:r w:rsidRPr="00400E89">
        <w:rPr>
          <w:rStyle w:val="FontStyle26"/>
          <w:color w:val="auto"/>
          <w:sz w:val="24"/>
          <w:szCs w:val="24"/>
        </w:rPr>
        <w:t xml:space="preserve">KLİNİK ÖZELLİKLER </w:t>
      </w:r>
    </w:p>
    <w:p w:rsidR="005F52C8" w:rsidRPr="00400E89" w:rsidRDefault="005F52C8" w:rsidP="005F52C8">
      <w:pPr>
        <w:spacing w:line="360" w:lineRule="auto"/>
        <w:jc w:val="both"/>
        <w:rPr>
          <w:rFonts w:eastAsia="TimesNewRoman"/>
          <w:b/>
        </w:rPr>
      </w:pPr>
      <w:r w:rsidRPr="00400E89">
        <w:rPr>
          <w:rFonts w:eastAsia="TimesNewRoman"/>
          <w:b/>
        </w:rPr>
        <w:t xml:space="preserve">4.1. </w:t>
      </w:r>
      <w:r w:rsidR="00A606AB" w:rsidRPr="00400E89">
        <w:rPr>
          <w:rFonts w:eastAsia="TimesNewRoman"/>
          <w:b/>
        </w:rPr>
        <w:tab/>
      </w:r>
      <w:r w:rsidRPr="00400E89">
        <w:rPr>
          <w:rFonts w:eastAsia="TimesNewRoman"/>
          <w:b/>
        </w:rPr>
        <w:t>Terapötik endikasyonlar</w:t>
      </w:r>
    </w:p>
    <w:p w:rsidR="005F52C8" w:rsidRPr="00400E89" w:rsidRDefault="00237564" w:rsidP="005F52C8">
      <w:pPr>
        <w:spacing w:line="360" w:lineRule="auto"/>
        <w:jc w:val="both"/>
        <w:rPr>
          <w:rFonts w:eastAsia="TimesNewRoman"/>
        </w:rPr>
      </w:pPr>
      <w:r w:rsidRPr="00400E89">
        <w:rPr>
          <w:rFonts w:eastAsia="TimesNewRoman"/>
        </w:rPr>
        <w:t>SEFTECH</w:t>
      </w:r>
      <w:r w:rsidR="005F52C8" w:rsidRPr="00400E89">
        <w:rPr>
          <w:rFonts w:eastAsia="TimesNewRoman"/>
        </w:rPr>
        <w:t xml:space="preserve"> süspansiyon, geniş bir aralıktaki Gram-negatif ve Gram-pozitif mikroorganizmalara bakterisit etkili sefalosporin grubu bir antibiyotiktir. Aşağıda belirtilen </w:t>
      </w:r>
      <w:proofErr w:type="gramStart"/>
      <w:r w:rsidR="005F52C8" w:rsidRPr="00400E89">
        <w:rPr>
          <w:rFonts w:eastAsia="TimesNewRoman"/>
        </w:rPr>
        <w:t>enfeksiyonların</w:t>
      </w:r>
      <w:proofErr w:type="gramEnd"/>
      <w:r w:rsidR="005F52C8" w:rsidRPr="00400E89">
        <w:rPr>
          <w:rFonts w:eastAsia="TimesNewRoman"/>
        </w:rPr>
        <w:t xml:space="preserve"> tedavisinde endikedir:</w:t>
      </w:r>
    </w:p>
    <w:p w:rsidR="005F52C8" w:rsidRPr="00400E89" w:rsidRDefault="00A606AB" w:rsidP="00A606AB">
      <w:pPr>
        <w:pStyle w:val="ListeParagraf"/>
        <w:numPr>
          <w:ilvl w:val="0"/>
          <w:numId w:val="14"/>
        </w:numPr>
        <w:spacing w:line="360" w:lineRule="auto"/>
        <w:jc w:val="both"/>
        <w:rPr>
          <w:rFonts w:eastAsia="TimesNewRoman"/>
        </w:rPr>
      </w:pPr>
      <w:r w:rsidRPr="00400E89">
        <w:rPr>
          <w:rFonts w:eastAsia="TimesNewRoman"/>
        </w:rPr>
        <w:t>Alt solunum yolu enfeksiyonların</w:t>
      </w:r>
      <w:r w:rsidR="005F52C8" w:rsidRPr="00400E89">
        <w:rPr>
          <w:rFonts w:eastAsia="TimesNewRoman"/>
        </w:rPr>
        <w:t>da (akut bronşit, toplumda kazanılmış pnömoni, kronik bronşitin akut bakteriye</w:t>
      </w:r>
      <w:r w:rsidRPr="00400E89">
        <w:rPr>
          <w:rFonts w:eastAsia="TimesNewRoman"/>
        </w:rPr>
        <w:t>l</w:t>
      </w:r>
      <w:r w:rsidR="005F52C8" w:rsidRPr="00400E89">
        <w:rPr>
          <w:rFonts w:eastAsia="TimesNewRoman"/>
        </w:rPr>
        <w:t xml:space="preserve"> alevlenmesi): Hastalık nedeni organizmalar </w:t>
      </w:r>
      <w:r w:rsidR="005F52C8" w:rsidRPr="00400E89">
        <w:rPr>
          <w:rFonts w:eastAsia="TimesNewRoman"/>
          <w:i/>
        </w:rPr>
        <w:t>Streptococcus pneumo</w:t>
      </w:r>
      <w:r w:rsidRPr="00400E89">
        <w:rPr>
          <w:rFonts w:eastAsia="TimesNewRoman"/>
          <w:i/>
        </w:rPr>
        <w:t>niae, Haemophil</w:t>
      </w:r>
      <w:r w:rsidR="005F52C8" w:rsidRPr="00400E89">
        <w:rPr>
          <w:rFonts w:eastAsia="TimesNewRoman"/>
          <w:i/>
        </w:rPr>
        <w:t>us influenzae</w:t>
      </w:r>
      <w:r w:rsidR="005F52C8" w:rsidRPr="00400E89">
        <w:rPr>
          <w:rFonts w:eastAsia="TimesNewRoman"/>
        </w:rPr>
        <w:t xml:space="preserve"> (beta laktamaz üreten suşlar </w:t>
      </w:r>
      <w:proofErr w:type="gramStart"/>
      <w:r w:rsidR="005F52C8" w:rsidRPr="00400E89">
        <w:rPr>
          <w:rFonts w:eastAsia="TimesNewRoman"/>
        </w:rPr>
        <w:t>dahil</w:t>
      </w:r>
      <w:proofErr w:type="gramEnd"/>
      <w:r w:rsidR="005F52C8" w:rsidRPr="00400E89">
        <w:rPr>
          <w:rFonts w:eastAsia="TimesNewRoman"/>
        </w:rPr>
        <w:t xml:space="preserve">), </w:t>
      </w:r>
      <w:r w:rsidR="005F52C8" w:rsidRPr="00400E89">
        <w:rPr>
          <w:rFonts w:eastAsia="TimesNewRoman"/>
          <w:i/>
        </w:rPr>
        <w:t>Moraxella (Branhamelia) catarrhalis</w:t>
      </w:r>
      <w:r w:rsidR="005F52C8" w:rsidRPr="00400E89">
        <w:rPr>
          <w:rFonts w:eastAsia="TimesNewRoman"/>
        </w:rPr>
        <w:t>.</w:t>
      </w:r>
    </w:p>
    <w:p w:rsidR="005F52C8" w:rsidRPr="00400E89" w:rsidRDefault="005F52C8" w:rsidP="00A606AB">
      <w:pPr>
        <w:pStyle w:val="ListeParagraf"/>
        <w:numPr>
          <w:ilvl w:val="0"/>
          <w:numId w:val="14"/>
        </w:numPr>
        <w:spacing w:line="360" w:lineRule="auto"/>
        <w:jc w:val="both"/>
        <w:rPr>
          <w:rFonts w:eastAsia="TimesNewRoman"/>
        </w:rPr>
      </w:pPr>
      <w:r w:rsidRPr="00400E89">
        <w:rPr>
          <w:rFonts w:eastAsia="TimesNewRoman"/>
        </w:rPr>
        <w:t xml:space="preserve">Üst solunum yolları enfeksiyonlarında (farenjit, bademcik iltihaplanması, akut orta kulak iltihabı, akut maksillar sinüzit): Hastalık nedeni organizmalar </w:t>
      </w:r>
      <w:r w:rsidRPr="00400E89">
        <w:rPr>
          <w:rFonts w:eastAsia="TimesNewRoman"/>
          <w:i/>
        </w:rPr>
        <w:t>Streptococcus pyogenes, Haemoph</w:t>
      </w:r>
      <w:r w:rsidR="00A606AB" w:rsidRPr="00400E89">
        <w:rPr>
          <w:rFonts w:eastAsia="TimesNewRoman"/>
          <w:i/>
        </w:rPr>
        <w:t>il</w:t>
      </w:r>
      <w:r w:rsidRPr="00400E89">
        <w:rPr>
          <w:rFonts w:eastAsia="TimesNewRoman"/>
          <w:i/>
        </w:rPr>
        <w:t xml:space="preserve">us influenzae </w:t>
      </w:r>
      <w:r w:rsidRPr="00400E89">
        <w:rPr>
          <w:rFonts w:eastAsia="TimesNewRoman"/>
        </w:rPr>
        <w:t xml:space="preserve">(beta laktamaz üreten suşlar </w:t>
      </w:r>
      <w:proofErr w:type="gramStart"/>
      <w:r w:rsidRPr="00400E89">
        <w:rPr>
          <w:rFonts w:eastAsia="TimesNewRoman"/>
        </w:rPr>
        <w:t>dahil</w:t>
      </w:r>
      <w:proofErr w:type="gramEnd"/>
      <w:r w:rsidRPr="00400E89">
        <w:rPr>
          <w:rFonts w:eastAsia="TimesNewRoman"/>
        </w:rPr>
        <w:t xml:space="preserve">), </w:t>
      </w:r>
      <w:r w:rsidRPr="00400E89">
        <w:rPr>
          <w:rFonts w:eastAsia="TimesNewRoman"/>
          <w:i/>
        </w:rPr>
        <w:t>Streptococcus pneumoniae</w:t>
      </w:r>
      <w:r w:rsidRPr="00400E89">
        <w:rPr>
          <w:rFonts w:eastAsia="TimesNewRoman"/>
        </w:rPr>
        <w:t xml:space="preserve"> (penisilin dirençli suşlar hariç), </w:t>
      </w:r>
      <w:r w:rsidRPr="00400E89">
        <w:rPr>
          <w:rFonts w:eastAsia="TimesNewRoman"/>
          <w:i/>
        </w:rPr>
        <w:t>Moraxella (Branhamelia) catarrhalis</w:t>
      </w:r>
      <w:r w:rsidRPr="00400E89">
        <w:rPr>
          <w:rFonts w:eastAsia="TimesNewRoman"/>
        </w:rPr>
        <w:t xml:space="preserve"> (beta laktamaz </w:t>
      </w:r>
      <w:r w:rsidRPr="00400E89">
        <w:rPr>
          <w:rFonts w:eastAsia="TimesNewRoman"/>
        </w:rPr>
        <w:lastRenderedPageBreak/>
        <w:t>üreten suşlar dahil).</w:t>
      </w:r>
    </w:p>
    <w:p w:rsidR="005F52C8" w:rsidRPr="00400E89" w:rsidRDefault="005F52C8" w:rsidP="00A606AB">
      <w:pPr>
        <w:pStyle w:val="ListeParagraf"/>
        <w:numPr>
          <w:ilvl w:val="0"/>
          <w:numId w:val="14"/>
        </w:numPr>
        <w:spacing w:line="360" w:lineRule="auto"/>
        <w:jc w:val="both"/>
        <w:rPr>
          <w:rFonts w:eastAsia="TimesNewRoman"/>
        </w:rPr>
      </w:pPr>
      <w:r w:rsidRPr="00400E89">
        <w:rPr>
          <w:rFonts w:eastAsia="TimesNewRoman"/>
        </w:rPr>
        <w:t xml:space="preserve">Seksüel yolla bulaşan hastalıklarda (akut </w:t>
      </w:r>
      <w:proofErr w:type="gramStart"/>
      <w:r w:rsidRPr="00400E89">
        <w:rPr>
          <w:rFonts w:eastAsia="TimesNewRoman"/>
        </w:rPr>
        <w:t>komplike</w:t>
      </w:r>
      <w:proofErr w:type="gramEnd"/>
      <w:r w:rsidRPr="00400E89">
        <w:rPr>
          <w:rFonts w:eastAsia="TimesNewRoman"/>
        </w:rPr>
        <w:t xml:space="preserve"> olmayan ureteral ve servikal gonore): Hastalık nedeni organizma </w:t>
      </w:r>
      <w:r w:rsidRPr="00400E89">
        <w:rPr>
          <w:rFonts w:eastAsia="TimesNewRoman"/>
          <w:i/>
        </w:rPr>
        <w:t>Neisseria gonorrheae</w:t>
      </w:r>
      <w:r w:rsidRPr="00400E89">
        <w:rPr>
          <w:rFonts w:eastAsia="TimesNewRoman"/>
        </w:rPr>
        <w:t xml:space="preserve"> (penisilinaz üreten suşlar dahil).</w:t>
      </w:r>
    </w:p>
    <w:p w:rsidR="005F52C8" w:rsidRPr="00400E89" w:rsidRDefault="005F52C8" w:rsidP="00A606AB">
      <w:pPr>
        <w:pStyle w:val="ListeParagraf"/>
        <w:numPr>
          <w:ilvl w:val="0"/>
          <w:numId w:val="14"/>
        </w:numPr>
        <w:spacing w:line="360" w:lineRule="auto"/>
        <w:jc w:val="both"/>
        <w:rPr>
          <w:rFonts w:eastAsia="TimesNewRoman"/>
        </w:rPr>
      </w:pPr>
      <w:r w:rsidRPr="00400E89">
        <w:rPr>
          <w:rFonts w:eastAsia="TimesNewRoman"/>
        </w:rPr>
        <w:t xml:space="preserve">Kadınlarda görülen akut </w:t>
      </w:r>
      <w:proofErr w:type="gramStart"/>
      <w:r w:rsidRPr="00400E89">
        <w:rPr>
          <w:rFonts w:eastAsia="TimesNewRoman"/>
        </w:rPr>
        <w:t>komplike</w:t>
      </w:r>
      <w:proofErr w:type="gramEnd"/>
      <w:r w:rsidRPr="00400E89">
        <w:rPr>
          <w:rFonts w:eastAsia="TimesNewRoman"/>
        </w:rPr>
        <w:t xml:space="preserve"> olmayan ano-rektal enfeksiyonlarda: Hastalık nedeni organizma </w:t>
      </w:r>
      <w:r w:rsidRPr="00400E89">
        <w:rPr>
          <w:rFonts w:eastAsia="TimesNewRoman"/>
          <w:i/>
        </w:rPr>
        <w:t>Neisseria gonorrheae</w:t>
      </w:r>
      <w:r w:rsidRPr="00400E89">
        <w:rPr>
          <w:rFonts w:eastAsia="TimesNewRoman"/>
        </w:rPr>
        <w:t xml:space="preserve"> (penisilinaz üreten suşlar dahil).</w:t>
      </w:r>
    </w:p>
    <w:p w:rsidR="005F52C8" w:rsidRPr="00400E89" w:rsidRDefault="005F52C8" w:rsidP="00A606AB">
      <w:pPr>
        <w:pStyle w:val="ListeParagraf"/>
        <w:numPr>
          <w:ilvl w:val="0"/>
          <w:numId w:val="14"/>
        </w:numPr>
        <w:spacing w:line="360" w:lineRule="auto"/>
        <w:jc w:val="both"/>
        <w:rPr>
          <w:rFonts w:eastAsia="TimesNewRoman"/>
          <w:i/>
        </w:rPr>
      </w:pPr>
      <w:r w:rsidRPr="00400E89">
        <w:rPr>
          <w:rFonts w:eastAsia="TimesNewRoman"/>
        </w:rPr>
        <w:t xml:space="preserve">Üriner </w:t>
      </w:r>
      <w:proofErr w:type="gramStart"/>
      <w:r w:rsidRPr="00400E89">
        <w:rPr>
          <w:rFonts w:eastAsia="TimesNewRoman"/>
        </w:rPr>
        <w:t>enfeksiyonlarda</w:t>
      </w:r>
      <w:proofErr w:type="gramEnd"/>
      <w:r w:rsidRPr="00400E89">
        <w:rPr>
          <w:rFonts w:eastAsia="TimesNewRoman"/>
        </w:rPr>
        <w:t xml:space="preserve"> (sistit): Hastalık nedeni organizmalar </w:t>
      </w:r>
      <w:r w:rsidRPr="00400E89">
        <w:rPr>
          <w:rFonts w:eastAsia="TimesNewRoman"/>
          <w:i/>
        </w:rPr>
        <w:t>Escherichia coli, Klebsiella pneumoniae, Proteus mirabilis, Staphylococcus saprophyticus.</w:t>
      </w:r>
    </w:p>
    <w:p w:rsidR="005F52C8" w:rsidRPr="00400E89" w:rsidRDefault="005F52C8" w:rsidP="00A606AB">
      <w:pPr>
        <w:pStyle w:val="ListeParagraf"/>
        <w:numPr>
          <w:ilvl w:val="0"/>
          <w:numId w:val="14"/>
        </w:numPr>
        <w:spacing w:line="360" w:lineRule="auto"/>
        <w:jc w:val="both"/>
        <w:rPr>
          <w:rFonts w:eastAsia="TimesNewRoman"/>
        </w:rPr>
      </w:pPr>
      <w:r w:rsidRPr="00400E89">
        <w:rPr>
          <w:rFonts w:eastAsia="TimesNewRoman"/>
        </w:rPr>
        <w:t xml:space="preserve">Cilt ve yumuşak doku enfeksiyonları: Hastalık nedeni organizmalar </w:t>
      </w:r>
      <w:r w:rsidRPr="00400E89">
        <w:rPr>
          <w:rFonts w:eastAsia="TimesNewRoman"/>
          <w:i/>
        </w:rPr>
        <w:t>Staphylococcus aureus</w:t>
      </w:r>
      <w:r w:rsidRPr="00400E89">
        <w:rPr>
          <w:rFonts w:eastAsia="TimesNewRoman"/>
        </w:rPr>
        <w:t xml:space="preserve"> (penisilinaz üreten suşlar </w:t>
      </w:r>
      <w:proofErr w:type="gramStart"/>
      <w:r w:rsidRPr="00400E89">
        <w:rPr>
          <w:rFonts w:eastAsia="TimesNewRoman"/>
        </w:rPr>
        <w:t>dahil</w:t>
      </w:r>
      <w:proofErr w:type="gramEnd"/>
      <w:r w:rsidRPr="00400E89">
        <w:rPr>
          <w:rFonts w:eastAsia="TimesNewRoman"/>
        </w:rPr>
        <w:t xml:space="preserve">), </w:t>
      </w:r>
      <w:r w:rsidRPr="00400E89">
        <w:rPr>
          <w:rFonts w:eastAsia="TimesNewRoman"/>
          <w:i/>
        </w:rPr>
        <w:t>Streptococcus pyogenes</w:t>
      </w:r>
      <w:r w:rsidRPr="00400E89">
        <w:rPr>
          <w:rFonts w:eastAsia="TimesNewRoman"/>
        </w:rPr>
        <w:t>.</w:t>
      </w:r>
    </w:p>
    <w:p w:rsidR="00A606AB" w:rsidRPr="00400E89" w:rsidRDefault="00A606AB" w:rsidP="00A606AB">
      <w:pPr>
        <w:pStyle w:val="ListeParagraf"/>
        <w:spacing w:line="360" w:lineRule="auto"/>
        <w:jc w:val="both"/>
        <w:rPr>
          <w:rFonts w:eastAsia="TimesNewRoman"/>
        </w:rPr>
      </w:pPr>
    </w:p>
    <w:p w:rsidR="00A606AB" w:rsidRPr="00400E89" w:rsidRDefault="00A606AB" w:rsidP="005F52C8">
      <w:pPr>
        <w:spacing w:line="360" w:lineRule="auto"/>
        <w:jc w:val="both"/>
        <w:rPr>
          <w:rFonts w:eastAsia="TimesNewRoman"/>
          <w:b/>
        </w:rPr>
      </w:pPr>
      <w:r w:rsidRPr="00400E89">
        <w:rPr>
          <w:rFonts w:eastAsia="TimesNewRoman"/>
          <w:b/>
        </w:rPr>
        <w:t>4.2.</w:t>
      </w:r>
      <w:r w:rsidRPr="00400E89">
        <w:rPr>
          <w:rFonts w:eastAsia="TimesNewRoman"/>
          <w:b/>
        </w:rPr>
        <w:tab/>
      </w:r>
      <w:r w:rsidR="005F52C8" w:rsidRPr="00400E89">
        <w:rPr>
          <w:rFonts w:eastAsia="TimesNewRoman"/>
          <w:b/>
        </w:rPr>
        <w:t xml:space="preserve">Pozoloji ve uygulama şekli </w:t>
      </w:r>
    </w:p>
    <w:p w:rsidR="005F52C8" w:rsidRPr="00400E89" w:rsidRDefault="005F52C8" w:rsidP="005F52C8">
      <w:pPr>
        <w:spacing w:line="360" w:lineRule="auto"/>
        <w:jc w:val="both"/>
        <w:rPr>
          <w:rFonts w:eastAsia="TimesNewRoman"/>
          <w:b/>
        </w:rPr>
      </w:pPr>
      <w:r w:rsidRPr="00400E89">
        <w:rPr>
          <w:rFonts w:eastAsia="TimesNewRoman"/>
          <w:b/>
        </w:rPr>
        <w:t>Pozoloji/uygulama sıklığı ve süresi:</w:t>
      </w:r>
    </w:p>
    <w:p w:rsidR="005F52C8" w:rsidRPr="00400E89" w:rsidRDefault="005F52C8" w:rsidP="005F52C8">
      <w:pPr>
        <w:spacing w:line="360" w:lineRule="auto"/>
        <w:jc w:val="both"/>
        <w:rPr>
          <w:rFonts w:eastAsia="TimesNewRoman"/>
        </w:rPr>
      </w:pPr>
      <w:r w:rsidRPr="00400E89">
        <w:rPr>
          <w:rFonts w:eastAsia="TimesNewRoman"/>
        </w:rPr>
        <w:t>Enfeksiyona göre önerilen dozlar ve tedavi süreleri aşağıdaki tabloda gösterilmiştir:</w:t>
      </w:r>
    </w:p>
    <w:p w:rsidR="005F52C8" w:rsidRPr="00400E89" w:rsidRDefault="005F52C8" w:rsidP="005F52C8">
      <w:pPr>
        <w:spacing w:line="360" w:lineRule="auto"/>
        <w:jc w:val="both"/>
        <w:rPr>
          <w:rFonts w:eastAsia="TimesNewRoman"/>
        </w:rPr>
      </w:pPr>
    </w:p>
    <w:tbl>
      <w:tblPr>
        <w:tblW w:w="10176"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725"/>
        <w:gridCol w:w="1614"/>
        <w:gridCol w:w="2393"/>
        <w:gridCol w:w="1444"/>
      </w:tblGrid>
      <w:tr w:rsidR="005F52C8" w:rsidRPr="00400E89" w:rsidTr="00A606AB">
        <w:trPr>
          <w:trHeight w:hRule="exact" w:val="367"/>
        </w:trPr>
        <w:tc>
          <w:tcPr>
            <w:tcW w:w="10176" w:type="dxa"/>
            <w:gridSpan w:val="4"/>
            <w:shd w:val="clear" w:color="auto" w:fill="FFFFFF"/>
          </w:tcPr>
          <w:p w:rsidR="005F52C8" w:rsidRPr="00400E89" w:rsidRDefault="005F52C8" w:rsidP="00A606AB">
            <w:pPr>
              <w:spacing w:line="360" w:lineRule="auto"/>
              <w:jc w:val="center"/>
              <w:rPr>
                <w:rFonts w:eastAsia="TimesNewRoman"/>
                <w:b/>
              </w:rPr>
            </w:pPr>
            <w:r w:rsidRPr="00400E89">
              <w:rPr>
                <w:rFonts w:eastAsia="TimesNewRoman"/>
                <w:b/>
              </w:rPr>
              <w:t>Yetişkinler (12 yaş ve yukarısı)</w:t>
            </w:r>
          </w:p>
        </w:tc>
      </w:tr>
      <w:tr w:rsidR="005F52C8" w:rsidRPr="00400E89" w:rsidTr="00A606AB">
        <w:trPr>
          <w:trHeight w:hRule="exact" w:val="660"/>
        </w:trPr>
        <w:tc>
          <w:tcPr>
            <w:tcW w:w="4725"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Enfeksiyon Çeşidi</w:t>
            </w:r>
          </w:p>
        </w:tc>
        <w:tc>
          <w:tcPr>
            <w:tcW w:w="1614"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Toplam Günlük Doz</w:t>
            </w:r>
          </w:p>
        </w:tc>
        <w:tc>
          <w:tcPr>
            <w:tcW w:w="2393"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Doz Aralığı</w:t>
            </w:r>
          </w:p>
        </w:tc>
        <w:tc>
          <w:tcPr>
            <w:tcW w:w="1444"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Süre</w:t>
            </w:r>
          </w:p>
        </w:tc>
      </w:tr>
      <w:tr w:rsidR="005F52C8" w:rsidRPr="00400E89" w:rsidTr="00A606AB">
        <w:trPr>
          <w:trHeight w:hRule="exact" w:val="660"/>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Toplumda kazanılmış akut pnömoni</w:t>
            </w:r>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400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200 mg</w:t>
            </w:r>
          </w:p>
        </w:tc>
        <w:tc>
          <w:tcPr>
            <w:tcW w:w="144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14 gün</w:t>
            </w:r>
          </w:p>
        </w:tc>
      </w:tr>
      <w:tr w:rsidR="005F52C8" w:rsidRPr="00400E89" w:rsidTr="00A606AB">
        <w:trPr>
          <w:trHeight w:hRule="exact" w:val="345"/>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Kronik bronşitin akut bakteriyel alevlenmesi</w:t>
            </w:r>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400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200 mg</w:t>
            </w:r>
          </w:p>
        </w:tc>
        <w:tc>
          <w:tcPr>
            <w:tcW w:w="144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10 gün</w:t>
            </w:r>
          </w:p>
        </w:tc>
      </w:tr>
      <w:tr w:rsidR="005F52C8" w:rsidRPr="00400E89" w:rsidTr="00A606AB">
        <w:trPr>
          <w:trHeight w:hRule="exact" w:val="744"/>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 xml:space="preserve">Komplike olmayan gonore (Kadın ve Erkek) ve Rektal Gonococcal </w:t>
            </w:r>
            <w:proofErr w:type="gramStart"/>
            <w:r w:rsidRPr="00400E89">
              <w:rPr>
                <w:rFonts w:eastAsia="TimesNewRoman"/>
              </w:rPr>
              <w:t>enfeksiyonlar</w:t>
            </w:r>
            <w:proofErr w:type="gramEnd"/>
            <w:r w:rsidRPr="00400E89">
              <w:rPr>
                <w:rFonts w:eastAsia="TimesNewRoman"/>
              </w:rPr>
              <w:t xml:space="preserve"> (Kadın)</w:t>
            </w:r>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200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Tek doz</w:t>
            </w:r>
          </w:p>
        </w:tc>
        <w:tc>
          <w:tcPr>
            <w:tcW w:w="1444" w:type="dxa"/>
            <w:shd w:val="clear" w:color="auto" w:fill="FFFFFF"/>
          </w:tcPr>
          <w:p w:rsidR="005F52C8" w:rsidRPr="00400E89" w:rsidRDefault="005F52C8" w:rsidP="00A606AB">
            <w:pPr>
              <w:spacing w:line="360" w:lineRule="auto"/>
              <w:jc w:val="center"/>
              <w:rPr>
                <w:rFonts w:eastAsia="TimesNewRoman"/>
              </w:rPr>
            </w:pPr>
          </w:p>
        </w:tc>
      </w:tr>
      <w:tr w:rsidR="005F52C8" w:rsidRPr="00400E89" w:rsidTr="00A606AB">
        <w:trPr>
          <w:trHeight w:hRule="exact" w:val="660"/>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Cilt ve yumuşak doku</w:t>
            </w:r>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800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400 mg</w:t>
            </w:r>
          </w:p>
        </w:tc>
        <w:tc>
          <w:tcPr>
            <w:tcW w:w="144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7-14 gün</w:t>
            </w:r>
          </w:p>
        </w:tc>
      </w:tr>
      <w:tr w:rsidR="005F52C8" w:rsidRPr="00400E89" w:rsidTr="00A606AB">
        <w:trPr>
          <w:trHeight w:hRule="exact" w:val="660"/>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Farenjit ve/veya bademcik iltihabı</w:t>
            </w:r>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200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100 mg</w:t>
            </w:r>
          </w:p>
        </w:tc>
        <w:tc>
          <w:tcPr>
            <w:tcW w:w="144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5-10 gün</w:t>
            </w:r>
          </w:p>
        </w:tc>
      </w:tr>
      <w:tr w:rsidR="005F52C8" w:rsidRPr="00400E89" w:rsidTr="00A606AB">
        <w:trPr>
          <w:trHeight w:hRule="exact" w:val="660"/>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Akut maksillar sinüzit</w:t>
            </w:r>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400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200 mg</w:t>
            </w:r>
          </w:p>
        </w:tc>
        <w:tc>
          <w:tcPr>
            <w:tcW w:w="144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10 gün</w:t>
            </w:r>
          </w:p>
        </w:tc>
      </w:tr>
      <w:tr w:rsidR="005F52C8" w:rsidRPr="00400E89" w:rsidTr="00A606AB">
        <w:trPr>
          <w:trHeight w:hRule="exact" w:val="683"/>
        </w:trPr>
        <w:tc>
          <w:tcPr>
            <w:tcW w:w="4725"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 xml:space="preserve">Komplike olmayan idrar yolları </w:t>
            </w:r>
            <w:proofErr w:type="gramStart"/>
            <w:r w:rsidRPr="00400E89">
              <w:rPr>
                <w:rFonts w:eastAsia="TimesNewRoman"/>
              </w:rPr>
              <w:t>enfeksiyonu</w:t>
            </w:r>
            <w:proofErr w:type="gramEnd"/>
          </w:p>
        </w:tc>
        <w:tc>
          <w:tcPr>
            <w:tcW w:w="161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200 mg</w:t>
            </w:r>
          </w:p>
        </w:tc>
        <w:tc>
          <w:tcPr>
            <w:tcW w:w="23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100 mg</w:t>
            </w:r>
          </w:p>
        </w:tc>
        <w:tc>
          <w:tcPr>
            <w:tcW w:w="1444"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7 gün</w:t>
            </w:r>
          </w:p>
        </w:tc>
      </w:tr>
    </w:tbl>
    <w:p w:rsidR="005F52C8" w:rsidRPr="00400E89" w:rsidRDefault="005F52C8" w:rsidP="005F52C8">
      <w:pPr>
        <w:spacing w:line="360" w:lineRule="auto"/>
        <w:jc w:val="both"/>
        <w:rPr>
          <w:rFonts w:eastAsia="TimesNewRoman"/>
        </w:rPr>
      </w:pPr>
    </w:p>
    <w:p w:rsidR="00AB7A26" w:rsidRPr="00400E89" w:rsidRDefault="00AB7A26" w:rsidP="005F52C8">
      <w:pPr>
        <w:spacing w:line="360" w:lineRule="auto"/>
        <w:jc w:val="both"/>
        <w:rPr>
          <w:rFonts w:eastAsia="TimesNewRoman"/>
        </w:rPr>
      </w:pPr>
    </w:p>
    <w:p w:rsidR="00AB7A26" w:rsidRPr="00400E89" w:rsidRDefault="00AB7A26" w:rsidP="005F52C8">
      <w:pPr>
        <w:spacing w:line="360" w:lineRule="auto"/>
        <w:jc w:val="both"/>
        <w:rPr>
          <w:rFonts w:eastAsia="TimesNewRoman"/>
        </w:rPr>
      </w:pPr>
    </w:p>
    <w:p w:rsidR="00AB7A26" w:rsidRPr="00400E89" w:rsidRDefault="00AB7A26" w:rsidP="005F52C8">
      <w:pPr>
        <w:spacing w:line="360" w:lineRule="auto"/>
        <w:jc w:val="both"/>
        <w:rPr>
          <w:rFonts w:eastAsia="TimesNewRoman"/>
        </w:rPr>
      </w:pPr>
    </w:p>
    <w:p w:rsidR="00AB7A26" w:rsidRPr="00400E89" w:rsidRDefault="00AB7A26" w:rsidP="005F52C8">
      <w:pPr>
        <w:spacing w:line="360" w:lineRule="auto"/>
        <w:jc w:val="both"/>
        <w:rPr>
          <w:rFonts w:eastAsia="TimesNewRoman"/>
        </w:rPr>
      </w:pPr>
    </w:p>
    <w:p w:rsidR="00AB7A26" w:rsidRPr="00400E89" w:rsidRDefault="00AB7A26" w:rsidP="005F52C8">
      <w:pPr>
        <w:spacing w:line="360" w:lineRule="auto"/>
        <w:jc w:val="both"/>
        <w:rPr>
          <w:rFonts w:eastAsia="TimesNewRoman"/>
        </w:rPr>
      </w:pPr>
    </w:p>
    <w:p w:rsidR="00AB7A26" w:rsidRPr="00400E89" w:rsidRDefault="00AB7A26" w:rsidP="005F52C8">
      <w:pPr>
        <w:spacing w:line="360" w:lineRule="auto"/>
        <w:jc w:val="both"/>
        <w:rPr>
          <w:rFonts w:eastAsia="TimesNewRoman"/>
        </w:rPr>
      </w:pPr>
    </w:p>
    <w:tbl>
      <w:tblPr>
        <w:tblW w:w="1012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27"/>
        <w:gridCol w:w="2795"/>
        <w:gridCol w:w="2805"/>
        <w:gridCol w:w="993"/>
      </w:tblGrid>
      <w:tr w:rsidR="005F52C8" w:rsidRPr="00400E89" w:rsidTr="00A606AB">
        <w:trPr>
          <w:trHeight w:hRule="exact" w:val="464"/>
        </w:trPr>
        <w:tc>
          <w:tcPr>
            <w:tcW w:w="10120" w:type="dxa"/>
            <w:gridSpan w:val="4"/>
            <w:shd w:val="clear" w:color="auto" w:fill="FFFFFF"/>
          </w:tcPr>
          <w:p w:rsidR="005F52C8" w:rsidRPr="00400E89" w:rsidRDefault="005F52C8" w:rsidP="00A606AB">
            <w:pPr>
              <w:spacing w:line="360" w:lineRule="auto"/>
              <w:jc w:val="center"/>
              <w:rPr>
                <w:rFonts w:eastAsia="TimesNewRoman"/>
                <w:b/>
              </w:rPr>
            </w:pPr>
            <w:r w:rsidRPr="00400E89">
              <w:rPr>
                <w:rFonts w:eastAsia="TimesNewRoman"/>
                <w:b/>
              </w:rPr>
              <w:lastRenderedPageBreak/>
              <w:t>Bebek - Pediatrik Hastalar (2 ay — 12 yaş)</w:t>
            </w:r>
          </w:p>
        </w:tc>
      </w:tr>
      <w:tr w:rsidR="005F52C8" w:rsidRPr="00400E89" w:rsidTr="00A606AB">
        <w:trPr>
          <w:trHeight w:hRule="exact" w:val="436"/>
        </w:trPr>
        <w:tc>
          <w:tcPr>
            <w:tcW w:w="3527"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Enfeksiyon Çeşidi</w:t>
            </w:r>
          </w:p>
        </w:tc>
        <w:tc>
          <w:tcPr>
            <w:tcW w:w="2795"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Toplam Günlük Doz</w:t>
            </w:r>
          </w:p>
        </w:tc>
        <w:tc>
          <w:tcPr>
            <w:tcW w:w="2805"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Doz Aralığı</w:t>
            </w:r>
          </w:p>
        </w:tc>
        <w:tc>
          <w:tcPr>
            <w:tcW w:w="993" w:type="dxa"/>
            <w:shd w:val="clear" w:color="auto" w:fill="FFFFFF"/>
          </w:tcPr>
          <w:p w:rsidR="005F52C8" w:rsidRPr="00400E89" w:rsidRDefault="005F52C8" w:rsidP="005F52C8">
            <w:pPr>
              <w:spacing w:line="360" w:lineRule="auto"/>
              <w:jc w:val="both"/>
              <w:rPr>
                <w:rFonts w:eastAsia="TimesNewRoman"/>
                <w:b/>
              </w:rPr>
            </w:pPr>
            <w:r w:rsidRPr="00400E89">
              <w:rPr>
                <w:rFonts w:eastAsia="TimesNewRoman"/>
                <w:b/>
              </w:rPr>
              <w:t>Süre</w:t>
            </w:r>
          </w:p>
        </w:tc>
      </w:tr>
      <w:tr w:rsidR="005F52C8" w:rsidRPr="00400E89" w:rsidTr="00A606AB">
        <w:trPr>
          <w:trHeight w:hRule="exact" w:val="835"/>
        </w:trPr>
        <w:tc>
          <w:tcPr>
            <w:tcW w:w="3527"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Akut orta kulak iltihabı</w:t>
            </w:r>
          </w:p>
        </w:tc>
        <w:tc>
          <w:tcPr>
            <w:tcW w:w="2795" w:type="dxa"/>
            <w:shd w:val="clear" w:color="auto" w:fill="FFFFFF"/>
          </w:tcPr>
          <w:p w:rsidR="00A606AB" w:rsidRPr="00400E89" w:rsidRDefault="005F52C8" w:rsidP="00A606AB">
            <w:pPr>
              <w:spacing w:line="360" w:lineRule="auto"/>
              <w:jc w:val="center"/>
              <w:rPr>
                <w:rFonts w:eastAsia="TimesNewRoman"/>
              </w:rPr>
            </w:pPr>
            <w:r w:rsidRPr="00400E89">
              <w:rPr>
                <w:rFonts w:eastAsia="TimesNewRoman"/>
              </w:rPr>
              <w:t>10 mg/kg/gün</w:t>
            </w:r>
          </w:p>
          <w:p w:rsidR="005F52C8" w:rsidRPr="00400E89" w:rsidRDefault="005F52C8" w:rsidP="00A606AB">
            <w:pPr>
              <w:spacing w:line="360" w:lineRule="auto"/>
              <w:jc w:val="center"/>
              <w:rPr>
                <w:rFonts w:eastAsia="TimesNewRoman"/>
              </w:rPr>
            </w:pPr>
            <w:r w:rsidRPr="00400E89">
              <w:rPr>
                <w:rFonts w:eastAsia="TimesNewRoman"/>
              </w:rPr>
              <w:t>(Maksimum 400 mg/gün)</w:t>
            </w:r>
          </w:p>
        </w:tc>
        <w:tc>
          <w:tcPr>
            <w:tcW w:w="2805"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5 mg/kg (Maksimum 200 mg/doz)</w:t>
            </w:r>
          </w:p>
        </w:tc>
        <w:tc>
          <w:tcPr>
            <w:tcW w:w="9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5 gün</w:t>
            </w:r>
          </w:p>
        </w:tc>
      </w:tr>
      <w:tr w:rsidR="005F52C8" w:rsidRPr="00400E89" w:rsidTr="00A606AB">
        <w:trPr>
          <w:trHeight w:hRule="exact" w:val="828"/>
        </w:trPr>
        <w:tc>
          <w:tcPr>
            <w:tcW w:w="3527"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Farenjit ve/veya bademcik iltihabı</w:t>
            </w:r>
          </w:p>
        </w:tc>
        <w:tc>
          <w:tcPr>
            <w:tcW w:w="2795" w:type="dxa"/>
            <w:shd w:val="clear" w:color="auto" w:fill="FFFFFF"/>
          </w:tcPr>
          <w:p w:rsidR="00A606AB" w:rsidRPr="00400E89" w:rsidRDefault="005F52C8" w:rsidP="00A606AB">
            <w:pPr>
              <w:spacing w:line="360" w:lineRule="auto"/>
              <w:jc w:val="center"/>
              <w:rPr>
                <w:rFonts w:eastAsia="TimesNewRoman"/>
              </w:rPr>
            </w:pPr>
            <w:r w:rsidRPr="00400E89">
              <w:rPr>
                <w:rFonts w:eastAsia="TimesNewRoman"/>
              </w:rPr>
              <w:t>10 mg/kg/gün</w:t>
            </w:r>
          </w:p>
          <w:p w:rsidR="005F52C8" w:rsidRPr="00400E89" w:rsidRDefault="005F52C8" w:rsidP="00A606AB">
            <w:pPr>
              <w:spacing w:line="360" w:lineRule="auto"/>
              <w:jc w:val="center"/>
              <w:rPr>
                <w:rFonts w:eastAsia="TimesNewRoman"/>
              </w:rPr>
            </w:pPr>
            <w:r w:rsidRPr="00400E89">
              <w:rPr>
                <w:rFonts w:eastAsia="TimesNewRoman"/>
              </w:rPr>
              <w:t>(Maksimum 200 mg/gün)</w:t>
            </w:r>
          </w:p>
        </w:tc>
        <w:tc>
          <w:tcPr>
            <w:tcW w:w="2805"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5 mg/kg (Maksimum 100 mg/doz)</w:t>
            </w:r>
          </w:p>
        </w:tc>
        <w:tc>
          <w:tcPr>
            <w:tcW w:w="9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5-10 gün</w:t>
            </w:r>
          </w:p>
        </w:tc>
      </w:tr>
      <w:tr w:rsidR="005F52C8" w:rsidRPr="00400E89" w:rsidTr="00A606AB">
        <w:trPr>
          <w:trHeight w:hRule="exact" w:val="864"/>
        </w:trPr>
        <w:tc>
          <w:tcPr>
            <w:tcW w:w="3527"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Akut maksillar sinüzit</w:t>
            </w:r>
          </w:p>
        </w:tc>
        <w:tc>
          <w:tcPr>
            <w:tcW w:w="2795" w:type="dxa"/>
            <w:shd w:val="clear" w:color="auto" w:fill="FFFFFF"/>
          </w:tcPr>
          <w:p w:rsidR="00A606AB" w:rsidRPr="00400E89" w:rsidRDefault="005F52C8" w:rsidP="00A606AB">
            <w:pPr>
              <w:spacing w:line="360" w:lineRule="auto"/>
              <w:jc w:val="center"/>
              <w:rPr>
                <w:rFonts w:eastAsia="TimesNewRoman"/>
              </w:rPr>
            </w:pPr>
            <w:r w:rsidRPr="00400E89">
              <w:rPr>
                <w:rFonts w:eastAsia="TimesNewRoman"/>
              </w:rPr>
              <w:t>10 mg/kg/gün</w:t>
            </w:r>
          </w:p>
          <w:p w:rsidR="005F52C8" w:rsidRPr="00400E89" w:rsidRDefault="005F52C8" w:rsidP="00A606AB">
            <w:pPr>
              <w:spacing w:line="360" w:lineRule="auto"/>
              <w:jc w:val="center"/>
              <w:rPr>
                <w:rFonts w:eastAsia="TimesNewRoman"/>
              </w:rPr>
            </w:pPr>
            <w:r w:rsidRPr="00400E89">
              <w:rPr>
                <w:rFonts w:eastAsia="TimesNewRoman"/>
              </w:rPr>
              <w:t>(Maksimum 400 mg/gün)</w:t>
            </w:r>
          </w:p>
        </w:tc>
        <w:tc>
          <w:tcPr>
            <w:tcW w:w="2805"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12 saatte bir 5 mg/kg (Maksimum 200 mg/doz)</w:t>
            </w:r>
          </w:p>
        </w:tc>
        <w:tc>
          <w:tcPr>
            <w:tcW w:w="993"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10 gün</w:t>
            </w:r>
          </w:p>
        </w:tc>
      </w:tr>
    </w:tbl>
    <w:p w:rsidR="00653D6D" w:rsidRPr="00400E89" w:rsidRDefault="00653D6D" w:rsidP="005F52C8">
      <w:pPr>
        <w:spacing w:line="360" w:lineRule="auto"/>
        <w:jc w:val="both"/>
        <w:rPr>
          <w:rFonts w:eastAsia="TimesNewRoman"/>
          <w:b/>
        </w:rPr>
      </w:pPr>
    </w:p>
    <w:p w:rsidR="005F52C8" w:rsidRPr="00400E89" w:rsidRDefault="005F52C8" w:rsidP="005F52C8">
      <w:pPr>
        <w:spacing w:line="360" w:lineRule="auto"/>
        <w:jc w:val="both"/>
        <w:rPr>
          <w:rFonts w:eastAsia="TimesNewRoman"/>
          <w:b/>
        </w:rPr>
      </w:pPr>
      <w:r w:rsidRPr="00400E89">
        <w:rPr>
          <w:rFonts w:eastAsia="TimesNewRoman"/>
          <w:b/>
        </w:rPr>
        <w:t>Uygulama şekli:</w:t>
      </w:r>
    </w:p>
    <w:p w:rsidR="005F52C8" w:rsidRPr="00400E89" w:rsidRDefault="005F52C8" w:rsidP="005F52C8">
      <w:pPr>
        <w:spacing w:line="360" w:lineRule="auto"/>
        <w:jc w:val="both"/>
        <w:rPr>
          <w:rFonts w:eastAsia="TimesNewRoman"/>
        </w:rPr>
      </w:pPr>
      <w:r w:rsidRPr="00400E89">
        <w:rPr>
          <w:rFonts w:eastAsia="TimesNewRoman"/>
        </w:rPr>
        <w:t>Eşit olarak dağılmış bir süspansiyon elde etmek için; süspansiyon, şişe üzerinde</w:t>
      </w:r>
      <w:r w:rsidR="00A606AB" w:rsidRPr="00400E89">
        <w:rPr>
          <w:rFonts w:eastAsia="TimesNewRoman"/>
        </w:rPr>
        <w:t xml:space="preserve"> </w:t>
      </w:r>
      <w:r w:rsidRPr="00400E89">
        <w:rPr>
          <w:rFonts w:eastAsia="TimesNewRoman"/>
        </w:rPr>
        <w:t>belirtilen çizgiye kadar su eklenerek ve iyice çalkalayarak hazırlanır.</w:t>
      </w:r>
    </w:p>
    <w:p w:rsidR="005F52C8" w:rsidRPr="00400E89" w:rsidRDefault="005F52C8" w:rsidP="005F52C8">
      <w:pPr>
        <w:spacing w:line="360" w:lineRule="auto"/>
        <w:jc w:val="both"/>
        <w:rPr>
          <w:rFonts w:eastAsia="TimesNewRoman"/>
        </w:rPr>
      </w:pPr>
      <w:r w:rsidRPr="00400E89">
        <w:rPr>
          <w:rFonts w:eastAsia="TimesNewRoman"/>
        </w:rPr>
        <w:t>Optimal absorpsiyonu elde etmek için süspansiyon yemek esnasında alınmalıdır.</w:t>
      </w:r>
    </w:p>
    <w:p w:rsidR="005F52C8" w:rsidRPr="00400E89" w:rsidRDefault="005F52C8" w:rsidP="005F52C8">
      <w:pPr>
        <w:spacing w:line="360" w:lineRule="auto"/>
        <w:jc w:val="both"/>
        <w:rPr>
          <w:rFonts w:eastAsia="TimesNewRoman"/>
          <w:b/>
        </w:rPr>
      </w:pPr>
      <w:r w:rsidRPr="00400E89">
        <w:rPr>
          <w:rFonts w:eastAsia="TimesNewRoman"/>
          <w:b/>
        </w:rPr>
        <w:t xml:space="preserve">Özel </w:t>
      </w:r>
      <w:proofErr w:type="gramStart"/>
      <w:r w:rsidRPr="00400E89">
        <w:rPr>
          <w:rFonts w:eastAsia="TimesNewRoman"/>
          <w:b/>
        </w:rPr>
        <w:t>popülasyonlara</w:t>
      </w:r>
      <w:proofErr w:type="gramEnd"/>
      <w:r w:rsidRPr="00400E89">
        <w:rPr>
          <w:rFonts w:eastAsia="TimesNewRoman"/>
          <w:b/>
        </w:rPr>
        <w:t xml:space="preserve"> ilişkin ek bilgiler:</w:t>
      </w:r>
    </w:p>
    <w:p w:rsidR="005F52C8" w:rsidRPr="00400E89" w:rsidRDefault="005F52C8" w:rsidP="005F52C8">
      <w:pPr>
        <w:spacing w:line="360" w:lineRule="auto"/>
        <w:jc w:val="both"/>
        <w:rPr>
          <w:rFonts w:eastAsia="TimesNewRoman"/>
          <w:b/>
        </w:rPr>
      </w:pPr>
      <w:r w:rsidRPr="00400E89">
        <w:rPr>
          <w:rFonts w:eastAsia="TimesNewRoman"/>
          <w:b/>
        </w:rPr>
        <w:t>Böbrek yetmezliği:</w:t>
      </w:r>
    </w:p>
    <w:p w:rsidR="005F52C8" w:rsidRPr="00400E89" w:rsidRDefault="005F52C8" w:rsidP="005F52C8">
      <w:pPr>
        <w:spacing w:line="360" w:lineRule="auto"/>
        <w:jc w:val="both"/>
        <w:rPr>
          <w:rFonts w:eastAsia="TimesNewRoman"/>
        </w:rPr>
      </w:pPr>
      <w:r w:rsidRPr="00400E89">
        <w:rPr>
          <w:rFonts w:eastAsia="TimesNewRoman"/>
        </w:rPr>
        <w:t xml:space="preserve">Kreatinin klerensi 40 mL/dak.'yı aşarsa, </w:t>
      </w:r>
      <w:r w:rsidR="00237564" w:rsidRPr="00400E89">
        <w:rPr>
          <w:rFonts w:eastAsia="TimesNewRoman"/>
        </w:rPr>
        <w:t>SEFTECH</w:t>
      </w:r>
      <w:r w:rsidRPr="00400E89">
        <w:rPr>
          <w:rFonts w:eastAsia="TimesNewRoman"/>
        </w:rPr>
        <w:t xml:space="preserve"> süspansiyonun dozajı için düzenleme gerekmez. Farmakokinetik çalışmalar, bu değerin altında plazma </w:t>
      </w:r>
      <w:proofErr w:type="gramStart"/>
      <w:r w:rsidRPr="00400E89">
        <w:rPr>
          <w:rFonts w:eastAsia="TimesNewRoman"/>
        </w:rPr>
        <w:t>eliminasyon</w:t>
      </w:r>
      <w:proofErr w:type="gramEnd"/>
      <w:r w:rsidRPr="00400E89">
        <w:rPr>
          <w:rFonts w:eastAsia="TimesNewRoman"/>
        </w:rPr>
        <w:t xml:space="preserve"> yarı ömründe ve maksimum plazma konsantrasyonlarında bir artış olduğunu göstermiştir, bu nedenle dozaj uygun bir şekilde ayarlanmalıdır.</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891"/>
        <w:gridCol w:w="5323"/>
      </w:tblGrid>
      <w:tr w:rsidR="005F52C8" w:rsidRPr="00400E89" w:rsidTr="00A606AB">
        <w:trPr>
          <w:trHeight w:hRule="exact" w:val="714"/>
        </w:trPr>
        <w:tc>
          <w:tcPr>
            <w:tcW w:w="3891" w:type="dxa"/>
            <w:shd w:val="clear" w:color="auto" w:fill="FFFFFF"/>
          </w:tcPr>
          <w:p w:rsidR="005F52C8" w:rsidRPr="00400E89" w:rsidRDefault="005F52C8" w:rsidP="00A606AB">
            <w:pPr>
              <w:spacing w:line="360" w:lineRule="auto"/>
              <w:jc w:val="center"/>
              <w:rPr>
                <w:rFonts w:eastAsia="TimesNewRoman"/>
                <w:b/>
              </w:rPr>
            </w:pPr>
            <w:r w:rsidRPr="00400E89">
              <w:rPr>
                <w:rFonts w:eastAsia="TimesNewRoman"/>
                <w:b/>
              </w:rPr>
              <w:t>Kreatinin Klerensi (mL/dakika)</w:t>
            </w:r>
          </w:p>
        </w:tc>
        <w:tc>
          <w:tcPr>
            <w:tcW w:w="5323" w:type="dxa"/>
            <w:shd w:val="clear" w:color="auto" w:fill="FFFFFF"/>
          </w:tcPr>
          <w:p w:rsidR="005F52C8" w:rsidRPr="00400E89" w:rsidRDefault="005F52C8" w:rsidP="005F52C8">
            <w:pPr>
              <w:spacing w:line="360" w:lineRule="auto"/>
              <w:jc w:val="both"/>
              <w:rPr>
                <w:rFonts w:eastAsia="TimesNewRoman"/>
              </w:rPr>
            </w:pPr>
          </w:p>
        </w:tc>
      </w:tr>
      <w:tr w:rsidR="005F52C8" w:rsidRPr="00400E89" w:rsidTr="00A606AB">
        <w:trPr>
          <w:trHeight w:hRule="exact" w:val="707"/>
        </w:trPr>
        <w:tc>
          <w:tcPr>
            <w:tcW w:w="3891"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39-10</w:t>
            </w:r>
          </w:p>
        </w:tc>
        <w:tc>
          <w:tcPr>
            <w:tcW w:w="5323" w:type="dxa"/>
            <w:shd w:val="clear" w:color="auto" w:fill="FFFFFF"/>
          </w:tcPr>
          <w:p w:rsidR="00A606AB" w:rsidRPr="00400E89" w:rsidRDefault="005F52C8" w:rsidP="005F52C8">
            <w:pPr>
              <w:spacing w:line="360" w:lineRule="auto"/>
              <w:jc w:val="both"/>
              <w:rPr>
                <w:rFonts w:eastAsia="TimesNewRoman"/>
              </w:rPr>
            </w:pPr>
            <w:r w:rsidRPr="00400E89">
              <w:rPr>
                <w:rFonts w:eastAsia="TimesNewRoman"/>
              </w:rPr>
              <w:t xml:space="preserve">24 saatte bir tek doz olarak </w:t>
            </w:r>
            <w:r w:rsidR="00571828" w:rsidRPr="00400E89">
              <w:rPr>
                <w:rFonts w:eastAsia="TimesNewRoman"/>
              </w:rPr>
              <w:t>alınan</w:t>
            </w:r>
            <w:r w:rsidRPr="00400E89">
              <w:rPr>
                <w:rFonts w:eastAsia="TimesNewRoman"/>
              </w:rPr>
              <w:t xml:space="preserve"> birim doz</w:t>
            </w:r>
            <w:r w:rsidR="00A606AB" w:rsidRPr="00400E89">
              <w:rPr>
                <w:rFonts w:eastAsia="TimesNewRoman"/>
                <w:vertAlign w:val="superscript"/>
              </w:rPr>
              <w:t>1</w:t>
            </w:r>
            <w:r w:rsidRPr="00400E89">
              <w:rPr>
                <w:rFonts w:eastAsia="TimesNewRoman"/>
              </w:rPr>
              <w:t xml:space="preserve"> </w:t>
            </w:r>
          </w:p>
          <w:p w:rsidR="005F52C8" w:rsidRPr="00400E89" w:rsidRDefault="005F52C8" w:rsidP="005F52C8">
            <w:pPr>
              <w:spacing w:line="360" w:lineRule="auto"/>
              <w:jc w:val="both"/>
              <w:rPr>
                <w:rFonts w:eastAsia="TimesNewRoman"/>
              </w:rPr>
            </w:pPr>
            <w:r w:rsidRPr="00400E89">
              <w:rPr>
                <w:rFonts w:eastAsia="TimesNewRoman"/>
              </w:rPr>
              <w:t>(örneğin, yetişkin mutat dozunun yarısı).</w:t>
            </w:r>
          </w:p>
        </w:tc>
      </w:tr>
      <w:tr w:rsidR="005F52C8" w:rsidRPr="00400E89" w:rsidTr="00A606AB">
        <w:trPr>
          <w:trHeight w:hRule="exact" w:val="701"/>
        </w:trPr>
        <w:tc>
          <w:tcPr>
            <w:tcW w:w="3891"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&lt;10</w:t>
            </w:r>
          </w:p>
        </w:tc>
        <w:tc>
          <w:tcPr>
            <w:tcW w:w="5323" w:type="dxa"/>
            <w:shd w:val="clear" w:color="auto" w:fill="FFFFFF"/>
          </w:tcPr>
          <w:p w:rsidR="00A606AB" w:rsidRPr="00400E89" w:rsidRDefault="005F52C8" w:rsidP="005F52C8">
            <w:pPr>
              <w:spacing w:line="360" w:lineRule="auto"/>
              <w:jc w:val="both"/>
              <w:rPr>
                <w:rFonts w:eastAsia="TimesNewRoman"/>
              </w:rPr>
            </w:pPr>
            <w:r w:rsidRPr="00400E89">
              <w:rPr>
                <w:rFonts w:eastAsia="TimesNewRoman"/>
              </w:rPr>
              <w:t>48 saatte bir tek doz olarak alınan birim doz</w:t>
            </w:r>
            <w:r w:rsidR="00A606AB" w:rsidRPr="00400E89">
              <w:rPr>
                <w:rFonts w:eastAsia="TimesNewRoman"/>
                <w:vertAlign w:val="superscript"/>
              </w:rPr>
              <w:t>1</w:t>
            </w:r>
            <w:r w:rsidRPr="00400E89">
              <w:rPr>
                <w:rFonts w:eastAsia="TimesNewRoman"/>
              </w:rPr>
              <w:t xml:space="preserve"> </w:t>
            </w:r>
          </w:p>
          <w:p w:rsidR="005F52C8" w:rsidRPr="00400E89" w:rsidRDefault="005F52C8" w:rsidP="005F52C8">
            <w:pPr>
              <w:spacing w:line="360" w:lineRule="auto"/>
              <w:jc w:val="both"/>
              <w:rPr>
                <w:rFonts w:eastAsia="TimesNewRoman"/>
              </w:rPr>
            </w:pPr>
            <w:r w:rsidRPr="00400E89">
              <w:rPr>
                <w:rFonts w:eastAsia="TimesNewRoman"/>
              </w:rPr>
              <w:t xml:space="preserve">(örneğin, yetişkin mutat dozunun </w:t>
            </w:r>
            <w:r w:rsidR="00571828" w:rsidRPr="00400E89">
              <w:rPr>
                <w:rFonts w:eastAsia="TimesNewRoman"/>
              </w:rPr>
              <w:t>1/4'ü</w:t>
            </w:r>
            <w:r w:rsidRPr="00400E89">
              <w:rPr>
                <w:rFonts w:eastAsia="TimesNewRoman"/>
              </w:rPr>
              <w:t>).</w:t>
            </w:r>
          </w:p>
        </w:tc>
      </w:tr>
      <w:tr w:rsidR="005F52C8" w:rsidRPr="00400E89" w:rsidTr="00A606AB">
        <w:trPr>
          <w:trHeight w:hRule="exact" w:val="375"/>
        </w:trPr>
        <w:tc>
          <w:tcPr>
            <w:tcW w:w="3891" w:type="dxa"/>
            <w:shd w:val="clear" w:color="auto" w:fill="FFFFFF"/>
          </w:tcPr>
          <w:p w:rsidR="005F52C8" w:rsidRPr="00400E89" w:rsidRDefault="005F52C8" w:rsidP="00A606AB">
            <w:pPr>
              <w:spacing w:line="360" w:lineRule="auto"/>
              <w:jc w:val="center"/>
              <w:rPr>
                <w:rFonts w:eastAsia="TimesNewRoman"/>
              </w:rPr>
            </w:pPr>
            <w:r w:rsidRPr="00400E89">
              <w:rPr>
                <w:rFonts w:eastAsia="TimesNewRoman"/>
              </w:rPr>
              <w:t>Hemodiyaliz hastaları</w:t>
            </w:r>
          </w:p>
        </w:tc>
        <w:tc>
          <w:tcPr>
            <w:tcW w:w="5323" w:type="dxa"/>
            <w:shd w:val="clear" w:color="auto" w:fill="FFFFFF"/>
          </w:tcPr>
          <w:p w:rsidR="005F52C8" w:rsidRPr="00400E89" w:rsidRDefault="005F52C8" w:rsidP="005F52C8">
            <w:pPr>
              <w:spacing w:line="360" w:lineRule="auto"/>
              <w:jc w:val="both"/>
              <w:rPr>
                <w:rFonts w:eastAsia="TimesNewRoman"/>
              </w:rPr>
            </w:pPr>
            <w:r w:rsidRPr="00400E89">
              <w:rPr>
                <w:rFonts w:eastAsia="TimesNewRoman"/>
              </w:rPr>
              <w:t xml:space="preserve">Her bir diyaliz seansından sonra </w:t>
            </w:r>
            <w:r w:rsidR="00571828" w:rsidRPr="00400E89">
              <w:rPr>
                <w:rFonts w:eastAsia="TimesNewRoman"/>
              </w:rPr>
              <w:t>alınan</w:t>
            </w:r>
            <w:r w:rsidRPr="00400E89">
              <w:rPr>
                <w:rFonts w:eastAsia="TimesNewRoman"/>
              </w:rPr>
              <w:t xml:space="preserve"> birim doz</w:t>
            </w:r>
            <w:r w:rsidRPr="00400E89">
              <w:rPr>
                <w:rFonts w:eastAsia="TimesNewRoman"/>
                <w:vertAlign w:val="superscript"/>
              </w:rPr>
              <w:t>1</w:t>
            </w:r>
            <w:r w:rsidRPr="00400E89">
              <w:rPr>
                <w:rFonts w:eastAsia="TimesNewRoman"/>
              </w:rPr>
              <w:t>.</w:t>
            </w:r>
          </w:p>
        </w:tc>
      </w:tr>
    </w:tbl>
    <w:p w:rsidR="005F52C8" w:rsidRPr="00400E89" w:rsidRDefault="00A606AB" w:rsidP="005F52C8">
      <w:pPr>
        <w:spacing w:line="360" w:lineRule="auto"/>
        <w:jc w:val="both"/>
        <w:rPr>
          <w:rFonts w:eastAsia="TimesNewRoman"/>
        </w:rPr>
      </w:pPr>
      <w:r w:rsidRPr="00400E89">
        <w:rPr>
          <w:rFonts w:eastAsia="TimesNewRoman"/>
        </w:rPr>
        <w:t xml:space="preserve">NOT: </w:t>
      </w:r>
      <w:r w:rsidRPr="00400E89">
        <w:rPr>
          <w:rFonts w:eastAsia="TimesNewRoman"/>
          <w:vertAlign w:val="superscript"/>
        </w:rPr>
        <w:t>1</w:t>
      </w:r>
      <w:r w:rsidR="005F52C8" w:rsidRPr="00400E89">
        <w:rPr>
          <w:rFonts w:eastAsia="TimesNewRoman"/>
        </w:rPr>
        <w:t xml:space="preserve">Birim doz, </w:t>
      </w:r>
      <w:proofErr w:type="gramStart"/>
      <w:r w:rsidR="005F52C8" w:rsidRPr="00400E89">
        <w:rPr>
          <w:rFonts w:eastAsia="TimesNewRoman"/>
        </w:rPr>
        <w:t>enfeksiyon</w:t>
      </w:r>
      <w:proofErr w:type="gramEnd"/>
      <w:r w:rsidR="005F52C8" w:rsidRPr="00400E89">
        <w:rPr>
          <w:rFonts w:eastAsia="TimesNewRoman"/>
        </w:rPr>
        <w:t xml:space="preserve"> tipine bağlı olarak 100 mg ya da 200 mg'dır.</w:t>
      </w:r>
    </w:p>
    <w:p w:rsidR="005F52C8" w:rsidRPr="00400E89" w:rsidRDefault="005F52C8" w:rsidP="005F52C8">
      <w:pPr>
        <w:spacing w:line="360" w:lineRule="auto"/>
        <w:jc w:val="both"/>
        <w:rPr>
          <w:rFonts w:eastAsia="TimesNewRoman"/>
          <w:b/>
        </w:rPr>
      </w:pPr>
      <w:r w:rsidRPr="00400E89">
        <w:rPr>
          <w:rFonts w:eastAsia="TimesNewRoman"/>
          <w:b/>
        </w:rPr>
        <w:t>Karaciğer yetmezliği:</w:t>
      </w:r>
    </w:p>
    <w:p w:rsidR="005F52C8" w:rsidRPr="00400E89" w:rsidRDefault="005F52C8" w:rsidP="005F52C8">
      <w:pPr>
        <w:spacing w:line="360" w:lineRule="auto"/>
        <w:jc w:val="both"/>
        <w:rPr>
          <w:rFonts w:eastAsia="TimesNewRoman"/>
        </w:rPr>
      </w:pPr>
      <w:r w:rsidRPr="00400E89">
        <w:rPr>
          <w:rFonts w:eastAsia="TimesNewRoman"/>
        </w:rPr>
        <w:t>Karaciğer yetmezliği olan vakalar için doz ayarlaması gerekmez.</w:t>
      </w:r>
    </w:p>
    <w:p w:rsidR="005F52C8" w:rsidRPr="00400E89" w:rsidRDefault="005F52C8" w:rsidP="005F52C8">
      <w:pPr>
        <w:spacing w:line="360" w:lineRule="auto"/>
        <w:jc w:val="both"/>
        <w:rPr>
          <w:rFonts w:eastAsia="TimesNewRoman"/>
          <w:b/>
        </w:rPr>
      </w:pPr>
      <w:r w:rsidRPr="00400E89">
        <w:rPr>
          <w:rFonts w:eastAsia="TimesNewRoman"/>
          <w:b/>
        </w:rPr>
        <w:t xml:space="preserve">Pediyatrik </w:t>
      </w:r>
      <w:proofErr w:type="gramStart"/>
      <w:r w:rsidRPr="00400E89">
        <w:rPr>
          <w:rFonts w:eastAsia="TimesNewRoman"/>
          <w:b/>
        </w:rPr>
        <w:t>popülasyon</w:t>
      </w:r>
      <w:proofErr w:type="gramEnd"/>
      <w:r w:rsidRPr="00400E89">
        <w:rPr>
          <w:rFonts w:eastAsia="TimesNewRoman"/>
          <w:b/>
        </w:rPr>
        <w:t>:</w:t>
      </w:r>
    </w:p>
    <w:p w:rsidR="005F52C8" w:rsidRPr="00400E89" w:rsidRDefault="005F52C8" w:rsidP="005F52C8">
      <w:pPr>
        <w:spacing w:line="360" w:lineRule="auto"/>
        <w:jc w:val="both"/>
        <w:rPr>
          <w:rFonts w:eastAsia="TimesNewRoman"/>
        </w:rPr>
      </w:pPr>
      <w:r w:rsidRPr="00400E89">
        <w:rPr>
          <w:rFonts w:eastAsia="TimesNewRoman"/>
        </w:rPr>
        <w:t>2 aylıktan küçük bebeklerde kullanılmamalıdır.</w:t>
      </w:r>
    </w:p>
    <w:p w:rsidR="005F52C8" w:rsidRPr="00400E89" w:rsidRDefault="005F52C8" w:rsidP="005F52C8">
      <w:pPr>
        <w:spacing w:line="360" w:lineRule="auto"/>
        <w:jc w:val="both"/>
        <w:rPr>
          <w:rFonts w:eastAsia="TimesNewRoman"/>
          <w:b/>
        </w:rPr>
      </w:pPr>
      <w:r w:rsidRPr="00400E89">
        <w:rPr>
          <w:rFonts w:eastAsia="TimesNewRoman"/>
          <w:b/>
        </w:rPr>
        <w:t xml:space="preserve">Geriyatrik </w:t>
      </w:r>
      <w:proofErr w:type="gramStart"/>
      <w:r w:rsidRPr="00400E89">
        <w:rPr>
          <w:rFonts w:eastAsia="TimesNewRoman"/>
          <w:b/>
        </w:rPr>
        <w:t>popülasyon</w:t>
      </w:r>
      <w:proofErr w:type="gramEnd"/>
      <w:r w:rsidRPr="00400E89">
        <w:rPr>
          <w:rFonts w:eastAsia="TimesNewRoman"/>
          <w:b/>
        </w:rPr>
        <w:t>:</w:t>
      </w:r>
    </w:p>
    <w:p w:rsidR="005F52C8" w:rsidRPr="00400E89" w:rsidRDefault="005F52C8" w:rsidP="005F52C8">
      <w:pPr>
        <w:spacing w:line="360" w:lineRule="auto"/>
        <w:jc w:val="both"/>
        <w:rPr>
          <w:rFonts w:eastAsia="TimesNewRoman"/>
        </w:rPr>
      </w:pPr>
      <w:r w:rsidRPr="00400E89">
        <w:rPr>
          <w:rFonts w:eastAsia="TimesNewRoman"/>
        </w:rPr>
        <w:t>Doz ayarlanmasına gerek yoktur. Ancak, yaşla birlikte renal fonksiyonlarda bozulma olabileceği göz önünde bulundurulmalıdır.</w:t>
      </w:r>
    </w:p>
    <w:p w:rsidR="00143017" w:rsidRPr="00400E89" w:rsidRDefault="00143017"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lastRenderedPageBreak/>
        <w:t>4.3.</w:t>
      </w:r>
      <w:r w:rsidR="00143017" w:rsidRPr="00400E89">
        <w:rPr>
          <w:rFonts w:eastAsia="TimesNewRoman"/>
          <w:b/>
        </w:rPr>
        <w:tab/>
      </w:r>
      <w:r w:rsidRPr="00400E89">
        <w:rPr>
          <w:rFonts w:eastAsia="TimesNewRoman"/>
          <w:b/>
        </w:rPr>
        <w:t>Kontrendikasyonlar</w:t>
      </w:r>
    </w:p>
    <w:p w:rsidR="005F52C8" w:rsidRPr="00400E89" w:rsidRDefault="005F52C8" w:rsidP="005F52C8">
      <w:pPr>
        <w:spacing w:line="360" w:lineRule="auto"/>
        <w:jc w:val="both"/>
        <w:rPr>
          <w:rFonts w:eastAsia="TimesNewRoman"/>
        </w:rPr>
      </w:pPr>
      <w:r w:rsidRPr="00400E89">
        <w:rPr>
          <w:rFonts w:eastAsia="TimesNewRoman"/>
        </w:rPr>
        <w:t>Sefpodoksime ya da sefalosporin grubu antibiyotiklerden herhangi birine bilinen bir alerjisi olan hastalarda kontrendikedir.</w:t>
      </w:r>
    </w:p>
    <w:p w:rsidR="00143017" w:rsidRPr="00400E89" w:rsidRDefault="00143017"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t xml:space="preserve">4.4. </w:t>
      </w:r>
      <w:r w:rsidR="00143017" w:rsidRPr="00400E89">
        <w:rPr>
          <w:rFonts w:eastAsia="TimesNewRoman"/>
          <w:b/>
        </w:rPr>
        <w:tab/>
      </w:r>
      <w:r w:rsidRPr="00400E89">
        <w:rPr>
          <w:rFonts w:eastAsia="TimesNewRoman"/>
          <w:b/>
        </w:rPr>
        <w:t>Özel kullanım uyarıları ve önlemleri</w:t>
      </w:r>
    </w:p>
    <w:p w:rsidR="005F52C8" w:rsidRPr="00400E89" w:rsidRDefault="005F52C8" w:rsidP="005F52C8">
      <w:pPr>
        <w:spacing w:line="360" w:lineRule="auto"/>
        <w:jc w:val="both"/>
        <w:rPr>
          <w:rFonts w:eastAsia="TimesNewRoman"/>
        </w:rPr>
      </w:pPr>
      <w:r w:rsidRPr="00400E89">
        <w:rPr>
          <w:rFonts w:eastAsia="TimesNewRoman"/>
        </w:rPr>
        <w:t>Sefpodoksim proksetil ile tedaviye başlanmadan önce, hastanın daha önceden sefpodoksim, diğer sefalosporinler, penisilinler ve diğer ilaçlara karşı hipersensitivite reaksiyonları olup olmadığı bilinmelidir. Penisilin duyarlılığı olan hastalara sefpodoksim uygulanırsa, beta laktam antibiyotikleri arasında meydana gelen çapraz hipersensitivite, kaydedilmelidir. Penisiline karşı alerjisi olan hastalarda, sefpodoksim proksetile karşı da alerjik reaksiyonlar gözlenebilir. Böyle bir durumda ilaç kullanımına devam edilmemelidir. Ciddi akut hipersensitivite reaksiyonlarının, epinefrin ile ve oksijen, intravenöz sıvılar, intravenöz antihistaminik içeren acil önlemlerle tedavisi gerekebilir.</w:t>
      </w:r>
    </w:p>
    <w:p w:rsidR="005F52C8" w:rsidRPr="00400E89" w:rsidRDefault="005F52C8" w:rsidP="005F52C8">
      <w:pPr>
        <w:spacing w:line="360" w:lineRule="auto"/>
        <w:jc w:val="both"/>
        <w:rPr>
          <w:rFonts w:eastAsia="TimesNewRoman"/>
        </w:rPr>
      </w:pPr>
      <w:r w:rsidRPr="00400E89">
        <w:rPr>
          <w:rFonts w:eastAsia="TimesNewRoman"/>
        </w:rPr>
        <w:t xml:space="preserve">Sefpodoksim, </w:t>
      </w:r>
      <w:r w:rsidRPr="00400E89">
        <w:rPr>
          <w:rFonts w:eastAsia="TimesNewRoman"/>
          <w:i/>
        </w:rPr>
        <w:t>Legionella, Mycoplasma ve Chlamydia</w:t>
      </w:r>
      <w:r w:rsidRPr="00400E89">
        <w:rPr>
          <w:rFonts w:eastAsia="TimesNewRoman"/>
        </w:rPr>
        <w:t xml:space="preserve"> gibi organizmaların neden olduğu atipik pnömoninin tedavisinde kullanılmaz ve stafilokok kaynaklı pnömoninin tedavisinde de tercih edilen bir antibiyotik değildir.</w:t>
      </w:r>
    </w:p>
    <w:p w:rsidR="005F52C8" w:rsidRPr="00400E89" w:rsidRDefault="005F52C8" w:rsidP="005F52C8">
      <w:pPr>
        <w:spacing w:line="360" w:lineRule="auto"/>
        <w:jc w:val="both"/>
        <w:rPr>
          <w:rFonts w:eastAsia="TimesNewRoman"/>
        </w:rPr>
      </w:pPr>
      <w:r w:rsidRPr="00400E89">
        <w:rPr>
          <w:rFonts w:eastAsia="TimesNewRoman"/>
        </w:rPr>
        <w:t>Ciddi renal yetmezlik durumunda, kreatinin klerensine bağlı olarak dozaj rejiminin indirgenmesi gerekebilir.</w:t>
      </w:r>
    </w:p>
    <w:p w:rsidR="005F52C8" w:rsidRPr="00400E89" w:rsidRDefault="005F52C8" w:rsidP="005F52C8">
      <w:pPr>
        <w:spacing w:line="360" w:lineRule="auto"/>
        <w:jc w:val="both"/>
        <w:rPr>
          <w:rFonts w:eastAsia="TimesNewRoman"/>
        </w:rPr>
      </w:pPr>
      <w:r w:rsidRPr="00400E89">
        <w:rPr>
          <w:rFonts w:eastAsia="TimesNewRoman"/>
        </w:rPr>
        <w:t xml:space="preserve">Mide bulantısı, kusma ve abdominal ağrı gibi gastrointestinal rahatsızlıkları içeren yan etkiler, olasıdır. Yalancı membran koliti sefpodoksim </w:t>
      </w:r>
      <w:proofErr w:type="gramStart"/>
      <w:r w:rsidRPr="00400E89">
        <w:rPr>
          <w:rFonts w:eastAsia="TimesNewRoman"/>
        </w:rPr>
        <w:t>dahil</w:t>
      </w:r>
      <w:proofErr w:type="gramEnd"/>
      <w:r w:rsidRPr="00400E89">
        <w:rPr>
          <w:rFonts w:eastAsia="TimesNewRoman"/>
        </w:rPr>
        <w:t xml:space="preserve"> pek çok antibakteriyel ajanda tespit edilmiş ve hayati tehlike oluşturabileceği gözlenmiştir. Antibiyotikler, gastrointestinal hastalık öyküsü olan hastalarda - özellikle koliti olanlarda - her zaman dikkatle reçetelendirilmelidir. Sefpodoksim; diyare, antibiyotikle ilişkili kolit ve psödomembranöz koliti indükleyebilir. Sıklıkla uzun süre yüksek doz alan hastalarda gözlenebilen bu yan etkilerin, potansiyel ciddiyeti göz önünde bulundurulmalıdır. Yalancı membran koliti teşhisi konulan hastalarda, terapötik önlemler alınmalıdır. </w:t>
      </w:r>
      <w:r w:rsidRPr="00400E89">
        <w:rPr>
          <w:rFonts w:eastAsia="TimesNewRoman"/>
          <w:i/>
        </w:rPr>
        <w:t>C.difficile</w:t>
      </w:r>
      <w:r w:rsidRPr="00400E89">
        <w:rPr>
          <w:rFonts w:eastAsia="TimesNewRoman"/>
        </w:rPr>
        <w:t>'</w:t>
      </w:r>
      <w:r w:rsidR="00143017" w:rsidRPr="00400E89">
        <w:rPr>
          <w:rFonts w:eastAsia="TimesNewRoman"/>
        </w:rPr>
        <w:t>ni</w:t>
      </w:r>
      <w:r w:rsidRPr="00400E89">
        <w:rPr>
          <w:rFonts w:eastAsia="TimesNewRoman"/>
        </w:rPr>
        <w:t xml:space="preserve">n varlığı araştırılmalıdır. Tüm olası kolit vakalarında, tedavi hemen kesilmelidir. Teşhis, sigmoidoskopi ile konfirme edilmeli ve klinik olarak gereklilik göz önünde bulundurularak </w:t>
      </w:r>
      <w:proofErr w:type="gramStart"/>
      <w:r w:rsidRPr="00400E89">
        <w:rPr>
          <w:rFonts w:eastAsia="TimesNewRoman"/>
        </w:rPr>
        <w:t>spesifik</w:t>
      </w:r>
      <w:proofErr w:type="gramEnd"/>
      <w:r w:rsidRPr="00400E89">
        <w:rPr>
          <w:rFonts w:eastAsia="TimesNewRoman"/>
        </w:rPr>
        <w:t xml:space="preserve"> antibiyotik (vankomisin) tedavisine geçilmelidir. Hafif yan etkiler ilacın kesilmesiyle geçebilir. Ancak orta ve ciddi şiddetteki etkilerde, sıvı ve elektrolit, protein sağlanması ve </w:t>
      </w:r>
      <w:r w:rsidRPr="00400E89">
        <w:rPr>
          <w:rFonts w:eastAsia="TimesNewRoman"/>
          <w:i/>
        </w:rPr>
        <w:t>C.difficile</w:t>
      </w:r>
      <w:r w:rsidRPr="00400E89">
        <w:rPr>
          <w:rFonts w:eastAsia="TimesNewRoman"/>
        </w:rPr>
        <w:t>'ye karşı oral antibakteriyel ilaç tedavisi düşünülmelidir. Feçes stazına neden olabilecek ürünlerin alınmasından kaçınılmalıdır.</w:t>
      </w:r>
    </w:p>
    <w:p w:rsidR="005F52C8" w:rsidRPr="00400E89" w:rsidRDefault="005F52C8" w:rsidP="005F52C8">
      <w:pPr>
        <w:spacing w:line="360" w:lineRule="auto"/>
        <w:jc w:val="both"/>
        <w:rPr>
          <w:rFonts w:eastAsia="TimesNewRoman"/>
        </w:rPr>
      </w:pPr>
      <w:r w:rsidRPr="00400E89">
        <w:rPr>
          <w:rFonts w:eastAsia="TimesNewRoman"/>
        </w:rPr>
        <w:t>Tüm beta laktam antibiyotiklerinde, özellikle uzamış tedaviler sırasında, nötropeni ve çok nadiren agranülositoz gelişebilir. 10 günden uzun süren uzamış tedavili vakalar için, kan sayımı izlenmeli, nötropeni bulunursa tedavi kesilmelidir.</w:t>
      </w:r>
    </w:p>
    <w:p w:rsidR="005F52C8" w:rsidRPr="00400E89" w:rsidRDefault="005F52C8" w:rsidP="005F52C8">
      <w:pPr>
        <w:spacing w:line="360" w:lineRule="auto"/>
        <w:jc w:val="both"/>
        <w:rPr>
          <w:rFonts w:eastAsia="TimesNewRoman"/>
        </w:rPr>
      </w:pPr>
      <w:r w:rsidRPr="00400E89">
        <w:rPr>
          <w:rFonts w:eastAsia="TimesNewRoman"/>
        </w:rPr>
        <w:lastRenderedPageBreak/>
        <w:t>Sefalosporinler, kırmızı hücre membranmın yüzeyinde absorplanabilir ve ilaca karşı direk olarak antikor oluşumu reaksiyonu görülebilir. Bu, pozitif bir Coombs' testi ve çok nadir olarak hemolitik anemi ortaya çıkarabilir. Bu reaksiyonla penisilin ile çapraz reaksiyon oluşabilir.</w:t>
      </w:r>
    </w:p>
    <w:p w:rsidR="005F52C8" w:rsidRPr="00400E89" w:rsidRDefault="005F52C8" w:rsidP="005F52C8">
      <w:pPr>
        <w:spacing w:line="360" w:lineRule="auto"/>
        <w:jc w:val="both"/>
        <w:rPr>
          <w:rFonts w:eastAsia="TimesNewRoman"/>
        </w:rPr>
      </w:pPr>
      <w:r w:rsidRPr="00400E89">
        <w:rPr>
          <w:rFonts w:eastAsia="TimesNewRoman"/>
        </w:rPr>
        <w:t>Aynı sınıf antibiyotiklerle, özellikle aminoglikozitler ve /veya kuvvetli diüretikler gibi potansiyel nefrotoksik ilaçlar ile birlikte verildiği zaman, renal fonksiyonlarda değişiklikler gözlenmiştir. Bu gibi vakalarda renal fonksiyon izlenmelidir. Diğer antibiyotiklerde olduğu gibi, sefpodoksim proksetilin uzamış kullanımı, duyarlı olmayan organizmaların gelişmesiyle sonuçlanabilir. Sefalosporinler gibi geniş spektrumlu antibiyotiklerde bu risk daha yüksektir. Psödomembranöz kolitle sonuçlanan, klostridian</w:t>
      </w:r>
      <w:r w:rsidR="008E11EF" w:rsidRPr="00400E89">
        <w:rPr>
          <w:rFonts w:eastAsia="TimesNewRoman"/>
        </w:rPr>
        <w:t>ın</w:t>
      </w:r>
      <w:r w:rsidRPr="00400E89">
        <w:rPr>
          <w:rFonts w:eastAsia="TimesNewRoman"/>
        </w:rPr>
        <w:t xml:space="preserve"> aşırı yayılması gibi, oral antibiyotiklerle, normal kolonik flora değişebilir. Hastanın tekrarlı değerlendirilmesi önemlidir ve eğer tedavi sırasında süperinfeksiyon oluşursa, uygun ölçümler yapılmalıdır.</w:t>
      </w:r>
    </w:p>
    <w:p w:rsidR="005F52C8" w:rsidRPr="00400E89" w:rsidRDefault="00237564" w:rsidP="005F52C8">
      <w:pPr>
        <w:spacing w:line="360" w:lineRule="auto"/>
        <w:jc w:val="both"/>
        <w:rPr>
          <w:rFonts w:eastAsia="TimesNewRoman"/>
        </w:rPr>
      </w:pPr>
      <w:r w:rsidRPr="00400E89">
        <w:rPr>
          <w:rFonts w:eastAsia="TimesNewRoman"/>
        </w:rPr>
        <w:t>SEFTECH</w:t>
      </w:r>
      <w:r w:rsidR="005F52C8" w:rsidRPr="00400E89">
        <w:rPr>
          <w:rFonts w:eastAsia="TimesNewRoman"/>
        </w:rPr>
        <w:t xml:space="preserve"> süspansiyon, etkin madde potensine bağlı olarak yaklaşık </w:t>
      </w:r>
      <w:r w:rsidR="008E7800" w:rsidRPr="00400E89">
        <w:rPr>
          <w:rFonts w:eastAsia="TimesNewRoman"/>
        </w:rPr>
        <w:t>3</w:t>
      </w:r>
      <w:r w:rsidR="005F52C8" w:rsidRPr="00400E89">
        <w:rPr>
          <w:rFonts w:eastAsia="TimesNewRoman"/>
        </w:rPr>
        <w:t>.</w:t>
      </w:r>
      <w:r w:rsidR="008E7800" w:rsidRPr="00400E89">
        <w:rPr>
          <w:rFonts w:eastAsia="TimesNewRoman"/>
        </w:rPr>
        <w:t>100</w:t>
      </w:r>
      <w:r w:rsidR="005F52C8" w:rsidRPr="00400E89">
        <w:rPr>
          <w:rFonts w:eastAsia="TimesNewRoman"/>
        </w:rPr>
        <w:t xml:space="preserve"> g </w:t>
      </w:r>
      <w:r w:rsidR="007307D9" w:rsidRPr="00400E89">
        <w:rPr>
          <w:rFonts w:eastAsia="TimesNewRoman"/>
        </w:rPr>
        <w:t>şeker i</w:t>
      </w:r>
      <w:r w:rsidR="005F52C8" w:rsidRPr="00400E89">
        <w:rPr>
          <w:rFonts w:eastAsia="TimesNewRoman"/>
        </w:rPr>
        <w:t>çermektedir. Nadir kalıtımsal früktoz intoleransı, glikoz-galaktoz malabsorpsiyon veya sükraz-izomaltaz yetmezliği problemi olan hastaların bu ilacı kullanmamaları gerekir.</w:t>
      </w:r>
    </w:p>
    <w:p w:rsidR="005F52C8" w:rsidRPr="00400E89" w:rsidRDefault="00237564" w:rsidP="005F52C8">
      <w:pPr>
        <w:spacing w:line="360" w:lineRule="auto"/>
        <w:jc w:val="both"/>
        <w:rPr>
          <w:rFonts w:eastAsia="TimesNewRoman"/>
        </w:rPr>
      </w:pPr>
      <w:r w:rsidRPr="00400E89">
        <w:rPr>
          <w:rFonts w:eastAsia="TimesNewRoman"/>
        </w:rPr>
        <w:t>SEFTECH</w:t>
      </w:r>
      <w:r w:rsidR="005F52C8" w:rsidRPr="00400E89">
        <w:rPr>
          <w:rFonts w:eastAsia="TimesNewRoman"/>
        </w:rPr>
        <w:t xml:space="preserve"> süspansiyon aspartam içerdiğinden fenilalanin için bir kaynak içermektedir. Fenilketonürisi olan insanlar için zararlı olabilir.</w:t>
      </w:r>
    </w:p>
    <w:p w:rsidR="00B4220E" w:rsidRPr="00400E89" w:rsidRDefault="00237564" w:rsidP="00B4220E">
      <w:pPr>
        <w:spacing w:line="360" w:lineRule="auto"/>
        <w:jc w:val="both"/>
        <w:rPr>
          <w:rFonts w:eastAsia="TimesNewRoman"/>
        </w:rPr>
      </w:pPr>
      <w:r w:rsidRPr="00400E89">
        <w:rPr>
          <w:rFonts w:eastAsia="TimesNewRoman"/>
        </w:rPr>
        <w:t>SEFTECH</w:t>
      </w:r>
      <w:r w:rsidR="00B4220E" w:rsidRPr="00400E89">
        <w:rPr>
          <w:rFonts w:eastAsia="TimesNewRoman"/>
        </w:rPr>
        <w:t xml:space="preserve"> süspansiyon her 5 ml’sinde 1 mmol (23 mg)’</w:t>
      </w:r>
      <w:proofErr w:type="gramStart"/>
      <w:r w:rsidR="00B4220E" w:rsidRPr="00400E89">
        <w:rPr>
          <w:rFonts w:eastAsia="TimesNewRoman"/>
        </w:rPr>
        <w:t>dan</w:t>
      </w:r>
      <w:proofErr w:type="gramEnd"/>
      <w:r w:rsidR="00B4220E" w:rsidRPr="00400E89">
        <w:rPr>
          <w:rFonts w:eastAsia="TimesNewRoman"/>
        </w:rPr>
        <w:t xml:space="preserve"> daha az sodyum ihtiva eder; bu dozda sodyuma bağlı herhangi bir yan etki</w:t>
      </w:r>
      <w:r w:rsidR="00AB7A26" w:rsidRPr="00400E89">
        <w:rPr>
          <w:rFonts w:eastAsia="TimesNewRoman"/>
        </w:rPr>
        <w:t xml:space="preserve"> beklenmemektedir.</w:t>
      </w:r>
    </w:p>
    <w:p w:rsidR="00EA0C7E" w:rsidRPr="00400E89" w:rsidRDefault="00EA0C7E"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t xml:space="preserve">4.5. </w:t>
      </w:r>
      <w:r w:rsidR="00EA0C7E" w:rsidRPr="00400E89">
        <w:rPr>
          <w:rFonts w:eastAsia="TimesNewRoman"/>
          <w:b/>
        </w:rPr>
        <w:tab/>
      </w:r>
      <w:r w:rsidRPr="00400E89">
        <w:rPr>
          <w:rFonts w:eastAsia="TimesNewRoman"/>
          <w:b/>
        </w:rPr>
        <w:t>Diğer tıbbi ürünler ile etkileşimler ve diğer etkileşim şekilleri</w:t>
      </w:r>
    </w:p>
    <w:p w:rsidR="005F52C8" w:rsidRPr="00400E89" w:rsidRDefault="00EA0C7E" w:rsidP="005F52C8">
      <w:pPr>
        <w:spacing w:line="360" w:lineRule="auto"/>
        <w:jc w:val="both"/>
        <w:rPr>
          <w:rFonts w:eastAsia="TimesNewRoman"/>
        </w:rPr>
      </w:pPr>
      <w:r w:rsidRPr="00400E89">
        <w:rPr>
          <w:rFonts w:eastAsia="TimesNewRoman"/>
        </w:rPr>
        <w:t xml:space="preserve">Antiasitler: </w:t>
      </w:r>
      <w:r w:rsidR="005F52C8" w:rsidRPr="00400E89">
        <w:rPr>
          <w:rFonts w:eastAsia="TimesNewRoman"/>
        </w:rPr>
        <w:t>Histamin H2-</w:t>
      </w:r>
      <w:proofErr w:type="gramStart"/>
      <w:r w:rsidR="005F52C8" w:rsidRPr="00400E89">
        <w:rPr>
          <w:rFonts w:eastAsia="TimesNewRoman"/>
        </w:rPr>
        <w:t>antagonistleri</w:t>
      </w:r>
      <w:proofErr w:type="gramEnd"/>
      <w:r w:rsidR="005F52C8" w:rsidRPr="00400E89">
        <w:rPr>
          <w:rFonts w:eastAsia="TimesNewRoman"/>
        </w:rPr>
        <w:t xml:space="preserve"> ve antiasitler, sefbodoksimin biyoyaralanımını</w:t>
      </w:r>
      <w:r w:rsidRPr="00400E89">
        <w:rPr>
          <w:rFonts w:eastAsia="TimesNewRoman"/>
        </w:rPr>
        <w:t xml:space="preserve"> </w:t>
      </w:r>
      <w:r w:rsidR="005F52C8" w:rsidRPr="00400E89">
        <w:rPr>
          <w:rFonts w:eastAsia="TimesNewRoman"/>
        </w:rPr>
        <w:t xml:space="preserve">azaltır. Gastrik pH'ı </w:t>
      </w:r>
      <w:proofErr w:type="gramStart"/>
      <w:r w:rsidR="005F52C8" w:rsidRPr="00400E89">
        <w:rPr>
          <w:rFonts w:eastAsia="TimesNewRoman"/>
        </w:rPr>
        <w:t>nötralize</w:t>
      </w:r>
      <w:proofErr w:type="gramEnd"/>
      <w:r w:rsidR="005F52C8" w:rsidRPr="00400E89">
        <w:rPr>
          <w:rFonts w:eastAsia="TimesNewRoman"/>
        </w:rPr>
        <w:t xml:space="preserve"> eden veya asit sekresyonunu inhibe eden ilaçlar ile</w:t>
      </w:r>
      <w:r w:rsidRPr="00400E89">
        <w:rPr>
          <w:rFonts w:eastAsia="TimesNewRoman"/>
        </w:rPr>
        <w:t xml:space="preserve"> </w:t>
      </w:r>
      <w:r w:rsidR="005F52C8" w:rsidRPr="00400E89">
        <w:rPr>
          <w:rFonts w:eastAsia="TimesNewRoman"/>
        </w:rPr>
        <w:t>sefpodoksim verildiği zaman, çalışmalar, biyoyararlanım</w:t>
      </w:r>
      <w:r w:rsidRPr="00400E89">
        <w:rPr>
          <w:rFonts w:eastAsia="TimesNewRoman"/>
        </w:rPr>
        <w:t>ın</w:t>
      </w:r>
      <w:r w:rsidR="005F52C8" w:rsidRPr="00400E89">
        <w:rPr>
          <w:rFonts w:eastAsia="TimesNewRoman"/>
        </w:rPr>
        <w:t xml:space="preserve"> yaklaşık olarak %30</w:t>
      </w:r>
      <w:r w:rsidRPr="00400E89">
        <w:rPr>
          <w:rFonts w:eastAsia="TimesNewRoman"/>
        </w:rPr>
        <w:t xml:space="preserve"> </w:t>
      </w:r>
      <w:r w:rsidR="005F52C8" w:rsidRPr="00400E89">
        <w:rPr>
          <w:rFonts w:eastAsia="TimesNewRoman"/>
        </w:rPr>
        <w:t>oranında azaldığını göstermiştir. Bu yüzden, mineral tip antiasitler gibi ve gastrik</w:t>
      </w:r>
      <w:r w:rsidRPr="00400E89">
        <w:rPr>
          <w:rFonts w:eastAsia="TimesNewRoman"/>
        </w:rPr>
        <w:t xml:space="preserve"> </w:t>
      </w:r>
      <w:r w:rsidR="005F52C8" w:rsidRPr="00400E89">
        <w:rPr>
          <w:rFonts w:eastAsia="TimesNewRoman"/>
        </w:rPr>
        <w:t>pH'da bir artışa neden olabilecek ranitidin gibi H</w:t>
      </w:r>
      <w:r w:rsidR="005F52C8" w:rsidRPr="00400E89">
        <w:rPr>
          <w:rFonts w:eastAsia="TimesNewRoman"/>
          <w:vertAlign w:val="subscript"/>
        </w:rPr>
        <w:t>2</w:t>
      </w:r>
      <w:r w:rsidR="005F52C8" w:rsidRPr="00400E89">
        <w:rPr>
          <w:rFonts w:eastAsia="TimesNewRoman"/>
        </w:rPr>
        <w:t xml:space="preserve"> blokörü ilaçlar, sefpodoksim</w:t>
      </w:r>
      <w:r w:rsidRPr="00400E89">
        <w:rPr>
          <w:rFonts w:eastAsia="TimesNewRoman"/>
        </w:rPr>
        <w:t xml:space="preserve"> </w:t>
      </w:r>
      <w:r w:rsidR="005F52C8" w:rsidRPr="00400E89">
        <w:rPr>
          <w:rFonts w:eastAsia="TimesNewRoman"/>
        </w:rPr>
        <w:t>alındıktan 2-3 saat sonra alınmalıdır.</w:t>
      </w:r>
    </w:p>
    <w:p w:rsidR="005F52C8" w:rsidRPr="00400E89" w:rsidRDefault="005F52C8" w:rsidP="005F52C8">
      <w:pPr>
        <w:spacing w:line="360" w:lineRule="auto"/>
        <w:jc w:val="both"/>
        <w:rPr>
          <w:rFonts w:eastAsia="TimesNewRoman"/>
        </w:rPr>
      </w:pPr>
      <w:r w:rsidRPr="00400E89">
        <w:rPr>
          <w:rFonts w:eastAsia="TimesNewRoman"/>
        </w:rPr>
        <w:t xml:space="preserve">Probenesid: </w:t>
      </w:r>
      <w:r w:rsidR="00EA0C7E" w:rsidRPr="00400E89">
        <w:rPr>
          <w:rFonts w:eastAsia="TimesNewRoman"/>
        </w:rPr>
        <w:t>Diğer</w:t>
      </w:r>
      <w:r w:rsidRPr="00400E89">
        <w:rPr>
          <w:rFonts w:eastAsia="TimesNewRoman"/>
        </w:rPr>
        <w:t xml:space="preserve"> beta </w:t>
      </w:r>
      <w:r w:rsidR="00EA0C7E" w:rsidRPr="00400E89">
        <w:rPr>
          <w:rFonts w:eastAsia="TimesNewRoman"/>
        </w:rPr>
        <w:t>laktam</w:t>
      </w:r>
      <w:r w:rsidRPr="00400E89">
        <w:rPr>
          <w:rFonts w:eastAsia="TimesNewRoman"/>
        </w:rPr>
        <w:t xml:space="preserve"> antibiyotiklerde olduğu </w:t>
      </w:r>
      <w:r w:rsidR="00EA0C7E" w:rsidRPr="00400E89">
        <w:rPr>
          <w:rFonts w:eastAsia="TimesNewRoman"/>
        </w:rPr>
        <w:t xml:space="preserve">gibi, </w:t>
      </w:r>
      <w:r w:rsidRPr="00400E89">
        <w:rPr>
          <w:rFonts w:eastAsia="TimesNewRoman"/>
        </w:rPr>
        <w:t>probenesid,</w:t>
      </w:r>
      <w:r w:rsidR="00EA0C7E" w:rsidRPr="00400E89">
        <w:rPr>
          <w:rFonts w:eastAsia="TimesNewRoman"/>
        </w:rPr>
        <w:t xml:space="preserve"> </w:t>
      </w:r>
      <w:r w:rsidRPr="00400E89">
        <w:rPr>
          <w:rFonts w:eastAsia="TimesNewRoman"/>
        </w:rPr>
        <w:t xml:space="preserve">sefpodoksimin böbreklerden salgılanmasını inhibe ederek, </w:t>
      </w:r>
      <w:proofErr w:type="gramStart"/>
      <w:r w:rsidRPr="00400E89">
        <w:rPr>
          <w:rFonts w:eastAsia="TimesNewRoman"/>
        </w:rPr>
        <w:t>eliminasyonunu</w:t>
      </w:r>
      <w:proofErr w:type="gramEnd"/>
      <w:r w:rsidRPr="00400E89">
        <w:rPr>
          <w:rFonts w:eastAsia="TimesNewRoman"/>
        </w:rPr>
        <w:t xml:space="preserve"> yavaşlatır.</w:t>
      </w:r>
    </w:p>
    <w:p w:rsidR="005F52C8" w:rsidRPr="00400E89" w:rsidRDefault="005F52C8" w:rsidP="005F52C8">
      <w:pPr>
        <w:spacing w:line="360" w:lineRule="auto"/>
        <w:jc w:val="both"/>
        <w:rPr>
          <w:rFonts w:eastAsia="TimesNewRoman"/>
        </w:rPr>
      </w:pPr>
      <w:r w:rsidRPr="00400E89">
        <w:rPr>
          <w:rFonts w:eastAsia="TimesNewRoman"/>
        </w:rPr>
        <w:t>Bu şekilde, EAA'da yaklaşık %31 artış ve sefpodoksim plazma seviyelerini gösteren</w:t>
      </w:r>
      <w:r w:rsidR="00EA0C7E" w:rsidRPr="00400E89">
        <w:rPr>
          <w:rFonts w:eastAsia="TimesNewRoman"/>
        </w:rPr>
        <w:t xml:space="preserve"> </w:t>
      </w:r>
      <w:r w:rsidRPr="00400E89">
        <w:rPr>
          <w:rFonts w:eastAsia="TimesNewRoman"/>
        </w:rPr>
        <w:t>dorukta %20 artış görülmüştür.</w:t>
      </w:r>
    </w:p>
    <w:p w:rsidR="005F52C8" w:rsidRPr="00400E89" w:rsidRDefault="005F52C8" w:rsidP="005F52C8">
      <w:pPr>
        <w:spacing w:line="360" w:lineRule="auto"/>
        <w:jc w:val="both"/>
        <w:rPr>
          <w:rFonts w:eastAsia="TimesNewRoman"/>
        </w:rPr>
      </w:pPr>
      <w:r w:rsidRPr="00400E89">
        <w:rPr>
          <w:rFonts w:eastAsia="TimesNewRoman"/>
        </w:rPr>
        <w:t>Kumarinler: Sefalosporinler, kumarinlerin antikoagülan etkisini potansiyel olarak</w:t>
      </w:r>
      <w:r w:rsidR="00EA0C7E" w:rsidRPr="00400E89">
        <w:rPr>
          <w:rFonts w:eastAsia="TimesNewRoman"/>
        </w:rPr>
        <w:t xml:space="preserve"> </w:t>
      </w:r>
      <w:r w:rsidRPr="00400E89">
        <w:rPr>
          <w:rFonts w:eastAsia="TimesNewRoman"/>
        </w:rPr>
        <w:t>arttırır.</w:t>
      </w:r>
    </w:p>
    <w:p w:rsidR="005F52C8" w:rsidRPr="00400E89" w:rsidRDefault="005F52C8" w:rsidP="005F52C8">
      <w:pPr>
        <w:spacing w:line="360" w:lineRule="auto"/>
        <w:jc w:val="both"/>
        <w:rPr>
          <w:rFonts w:eastAsia="TimesNewRoman"/>
        </w:rPr>
      </w:pPr>
      <w:r w:rsidRPr="00400E89">
        <w:rPr>
          <w:rFonts w:eastAsia="TimesNewRoman"/>
        </w:rPr>
        <w:t>Estrojenler: Sefalosporinler, estrojenlerin kontraseptif etkisini azaltır.</w:t>
      </w:r>
    </w:p>
    <w:p w:rsidR="005F52C8" w:rsidRPr="00400E89" w:rsidRDefault="005F52C8" w:rsidP="005F52C8">
      <w:pPr>
        <w:spacing w:line="360" w:lineRule="auto"/>
        <w:jc w:val="both"/>
        <w:rPr>
          <w:rFonts w:eastAsia="TimesNewRoman"/>
        </w:rPr>
      </w:pPr>
      <w:r w:rsidRPr="00400E89">
        <w:rPr>
          <w:rFonts w:eastAsia="TimesNewRoman"/>
        </w:rPr>
        <w:t xml:space="preserve">Nefrotoksik ilaçlar: Sefpodoksim proksetil yalnız </w:t>
      </w:r>
      <w:r w:rsidR="00EA0C7E" w:rsidRPr="00400E89">
        <w:rPr>
          <w:rFonts w:eastAsia="TimesNewRoman"/>
        </w:rPr>
        <w:t>verildiğinde,</w:t>
      </w:r>
      <w:r w:rsidRPr="00400E89">
        <w:rPr>
          <w:rFonts w:eastAsia="TimesNewRoman"/>
        </w:rPr>
        <w:t xml:space="preserve"> nefrotoksisite</w:t>
      </w:r>
      <w:r w:rsidR="00EA0C7E" w:rsidRPr="00400E89">
        <w:rPr>
          <w:rFonts w:eastAsia="TimesNewRoman"/>
        </w:rPr>
        <w:t xml:space="preserve"> </w:t>
      </w:r>
      <w:r w:rsidRPr="00400E89">
        <w:rPr>
          <w:rFonts w:eastAsia="TimesNewRoman"/>
        </w:rPr>
        <w:t xml:space="preserve">gözlenmemesine </w:t>
      </w:r>
      <w:r w:rsidR="00EA0C7E" w:rsidRPr="00400E89">
        <w:rPr>
          <w:rFonts w:eastAsia="TimesNewRoman"/>
        </w:rPr>
        <w:t xml:space="preserve">rağmen, aminoglikozitler </w:t>
      </w:r>
      <w:r w:rsidRPr="00400E89">
        <w:rPr>
          <w:rFonts w:eastAsia="TimesNewRoman"/>
        </w:rPr>
        <w:t>ve /veya kuvvetli diüretikler gibi</w:t>
      </w:r>
      <w:r w:rsidR="00EA0C7E" w:rsidRPr="00400E89">
        <w:rPr>
          <w:rFonts w:eastAsia="TimesNewRoman"/>
        </w:rPr>
        <w:t xml:space="preserve"> </w:t>
      </w:r>
      <w:r w:rsidRPr="00400E89">
        <w:rPr>
          <w:rFonts w:eastAsia="TimesNewRoman"/>
        </w:rPr>
        <w:t>nefrotoksik potansiyeli bilinen bileşiklerle verildiğinde, böbrek fonksiyonunun kontrol</w:t>
      </w:r>
      <w:r w:rsidR="00EA0C7E" w:rsidRPr="00400E89">
        <w:rPr>
          <w:rFonts w:eastAsia="TimesNewRoman"/>
        </w:rPr>
        <w:t xml:space="preserve"> </w:t>
      </w:r>
      <w:r w:rsidRPr="00400E89">
        <w:rPr>
          <w:rFonts w:eastAsia="TimesNewRoman"/>
        </w:rPr>
        <w:t>edilmesi önerilir.</w:t>
      </w:r>
    </w:p>
    <w:p w:rsidR="005F52C8" w:rsidRPr="00400E89" w:rsidRDefault="005F52C8" w:rsidP="005F52C8">
      <w:pPr>
        <w:spacing w:line="360" w:lineRule="auto"/>
        <w:jc w:val="both"/>
        <w:rPr>
          <w:rFonts w:eastAsia="TimesNewRoman"/>
        </w:rPr>
      </w:pPr>
      <w:r w:rsidRPr="00400E89">
        <w:rPr>
          <w:rFonts w:eastAsia="TimesNewRoman"/>
        </w:rPr>
        <w:lastRenderedPageBreak/>
        <w:t>Yiyecekler: Sefpodoksim yiyeceklerle birlikte alınırsa, biyoyararlanımı artar.</w:t>
      </w:r>
    </w:p>
    <w:p w:rsidR="005F52C8" w:rsidRPr="00400E89" w:rsidRDefault="005F52C8" w:rsidP="005F52C8">
      <w:pPr>
        <w:spacing w:line="360" w:lineRule="auto"/>
        <w:jc w:val="both"/>
        <w:rPr>
          <w:rFonts w:eastAsia="TimesNewRoman"/>
        </w:rPr>
      </w:pPr>
      <w:r w:rsidRPr="00400E89">
        <w:rPr>
          <w:rFonts w:eastAsia="TimesNewRoman"/>
        </w:rPr>
        <w:t>Laboratuar Testleri ile etkileşim: Diğer sefalosporinlerde olduğu gibi, pozitif Coombs'</w:t>
      </w:r>
      <w:r w:rsidR="00EA0C7E" w:rsidRPr="00400E89">
        <w:rPr>
          <w:rFonts w:eastAsia="TimesNewRoman"/>
        </w:rPr>
        <w:t xml:space="preserve"> </w:t>
      </w:r>
      <w:r w:rsidRPr="00400E89">
        <w:rPr>
          <w:rFonts w:eastAsia="TimesNewRoman"/>
        </w:rPr>
        <w:t xml:space="preserve">testinin oluştuğunu gösteren izole vakalar raporlanmıştır (bkz. bölüm </w:t>
      </w:r>
      <w:proofErr w:type="gramStart"/>
      <w:r w:rsidRPr="00400E89">
        <w:rPr>
          <w:rFonts w:eastAsia="TimesNewRoman"/>
        </w:rPr>
        <w:t>4.4</w:t>
      </w:r>
      <w:proofErr w:type="gramEnd"/>
      <w:r w:rsidRPr="00400E89">
        <w:rPr>
          <w:rFonts w:eastAsia="TimesNewRoman"/>
        </w:rPr>
        <w:t>).</w:t>
      </w:r>
    </w:p>
    <w:p w:rsidR="00A606AB" w:rsidRPr="00400E89" w:rsidRDefault="005F52C8" w:rsidP="005F52C8">
      <w:pPr>
        <w:spacing w:line="360" w:lineRule="auto"/>
        <w:jc w:val="both"/>
        <w:rPr>
          <w:rFonts w:eastAsia="TimesNewRoman"/>
        </w:rPr>
      </w:pPr>
      <w:r w:rsidRPr="00400E89">
        <w:rPr>
          <w:rFonts w:eastAsia="TimesNewRoman"/>
        </w:rPr>
        <w:t>İdrarda glukoz testi için Benedict veya Fehling çözeltileri veya bakırsülfat test</w:t>
      </w:r>
      <w:r w:rsidR="00EA0C7E" w:rsidRPr="00400E89">
        <w:rPr>
          <w:rFonts w:eastAsia="TimesNewRoman"/>
        </w:rPr>
        <w:t xml:space="preserve"> </w:t>
      </w:r>
      <w:r w:rsidRPr="00400E89">
        <w:rPr>
          <w:rFonts w:eastAsia="TimesNewRoman"/>
        </w:rPr>
        <w:t>tabletleri ile yanlış pozitif reaksiyon oluşabilir, fakat enzimatik glukoz oksidaz</w:t>
      </w:r>
      <w:r w:rsidR="00EA0C7E" w:rsidRPr="00400E89">
        <w:rPr>
          <w:rFonts w:eastAsia="TimesNewRoman"/>
        </w:rPr>
        <w:t xml:space="preserve"> </w:t>
      </w:r>
      <w:r w:rsidRPr="00400E89">
        <w:rPr>
          <w:rFonts w:eastAsia="TimesNewRoman"/>
        </w:rPr>
        <w:t>reaksiyonlarına dayanan testlerde bu durum olmaz.</w:t>
      </w:r>
    </w:p>
    <w:p w:rsidR="005F52C8" w:rsidRPr="00400E89" w:rsidRDefault="005F52C8" w:rsidP="005F52C8">
      <w:pPr>
        <w:spacing w:line="360" w:lineRule="auto"/>
        <w:jc w:val="both"/>
        <w:rPr>
          <w:rFonts w:eastAsia="TimesNewRoman"/>
          <w:b/>
        </w:rPr>
      </w:pPr>
      <w:r w:rsidRPr="00400E89">
        <w:rPr>
          <w:rFonts w:eastAsia="TimesNewRoman"/>
          <w:b/>
        </w:rPr>
        <w:t xml:space="preserve">Özel </w:t>
      </w:r>
      <w:proofErr w:type="gramStart"/>
      <w:r w:rsidRPr="00400E89">
        <w:rPr>
          <w:rFonts w:eastAsia="TimesNewRoman"/>
          <w:b/>
        </w:rPr>
        <w:t>popülasyonlara</w:t>
      </w:r>
      <w:proofErr w:type="gramEnd"/>
      <w:r w:rsidRPr="00400E89">
        <w:rPr>
          <w:rFonts w:eastAsia="TimesNewRoman"/>
          <w:b/>
        </w:rPr>
        <w:t xml:space="preserve"> ilişkin ek bilgiler</w:t>
      </w:r>
    </w:p>
    <w:p w:rsidR="005F52C8" w:rsidRPr="00400E89" w:rsidRDefault="005F52C8" w:rsidP="005F52C8">
      <w:pPr>
        <w:spacing w:line="360" w:lineRule="auto"/>
        <w:jc w:val="both"/>
        <w:rPr>
          <w:rFonts w:eastAsia="TimesNewRoman"/>
        </w:rPr>
      </w:pPr>
      <w:r w:rsidRPr="00400E89">
        <w:rPr>
          <w:rFonts w:eastAsia="TimesNewRoman"/>
        </w:rPr>
        <w:t>Sefpodoksim için herhangi bir etkileşim çalışması bulunmamaktadır.</w:t>
      </w:r>
    </w:p>
    <w:p w:rsidR="005F52C8" w:rsidRPr="00400E89" w:rsidRDefault="005F52C8" w:rsidP="005F52C8">
      <w:pPr>
        <w:spacing w:line="360" w:lineRule="auto"/>
        <w:jc w:val="both"/>
        <w:rPr>
          <w:rFonts w:eastAsia="TimesNewRoman"/>
          <w:b/>
        </w:rPr>
      </w:pPr>
      <w:r w:rsidRPr="00400E89">
        <w:rPr>
          <w:rFonts w:eastAsia="TimesNewRoman"/>
          <w:b/>
        </w:rPr>
        <w:t xml:space="preserve">Pediyatrik </w:t>
      </w:r>
      <w:proofErr w:type="gramStart"/>
      <w:r w:rsidRPr="00400E89">
        <w:rPr>
          <w:rFonts w:eastAsia="TimesNewRoman"/>
          <w:b/>
        </w:rPr>
        <w:t>popülasyon</w:t>
      </w:r>
      <w:proofErr w:type="gramEnd"/>
      <w:r w:rsidRPr="00400E89">
        <w:rPr>
          <w:rFonts w:eastAsia="TimesNewRoman"/>
          <w:b/>
        </w:rPr>
        <w:t>:</w:t>
      </w:r>
    </w:p>
    <w:p w:rsidR="005F52C8" w:rsidRPr="00400E89" w:rsidRDefault="005F52C8" w:rsidP="005F52C8">
      <w:pPr>
        <w:spacing w:line="360" w:lineRule="auto"/>
        <w:jc w:val="both"/>
        <w:rPr>
          <w:rFonts w:eastAsia="TimesNewRoman"/>
        </w:rPr>
      </w:pPr>
      <w:r w:rsidRPr="00400E89">
        <w:rPr>
          <w:rFonts w:eastAsia="TimesNewRoman"/>
        </w:rPr>
        <w:t>2 aylıktan küçük bebeklerde kullanılmamalıdır.</w:t>
      </w:r>
    </w:p>
    <w:p w:rsidR="00EA0C7E" w:rsidRPr="00400E89" w:rsidRDefault="00EA0C7E"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t>4.6.</w:t>
      </w:r>
      <w:r w:rsidRPr="00400E89">
        <w:rPr>
          <w:rFonts w:eastAsia="TimesNewRoman"/>
          <w:b/>
        </w:rPr>
        <w:tab/>
        <w:t>Gebelik ve laktasyon</w:t>
      </w:r>
    </w:p>
    <w:p w:rsidR="005F52C8" w:rsidRPr="00400E89" w:rsidRDefault="005F52C8" w:rsidP="005F52C8">
      <w:pPr>
        <w:spacing w:line="360" w:lineRule="auto"/>
        <w:jc w:val="both"/>
        <w:rPr>
          <w:rFonts w:eastAsia="TimesNewRoman"/>
          <w:b/>
        </w:rPr>
      </w:pPr>
      <w:r w:rsidRPr="00400E89">
        <w:rPr>
          <w:rFonts w:eastAsia="TimesNewRoman"/>
          <w:b/>
        </w:rPr>
        <w:t>Genel tavsiye</w:t>
      </w:r>
    </w:p>
    <w:p w:rsidR="005F52C8" w:rsidRPr="00400E89" w:rsidRDefault="005F52C8" w:rsidP="005F52C8">
      <w:pPr>
        <w:spacing w:line="360" w:lineRule="auto"/>
        <w:jc w:val="both"/>
        <w:rPr>
          <w:rFonts w:eastAsia="TimesNewRoman"/>
        </w:rPr>
      </w:pPr>
      <w:r w:rsidRPr="00400E89">
        <w:rPr>
          <w:rFonts w:eastAsia="TimesNewRoman"/>
        </w:rPr>
        <w:t>Gebelik kategorisi B'dir.</w:t>
      </w:r>
    </w:p>
    <w:p w:rsidR="005F52C8" w:rsidRPr="00400E89" w:rsidRDefault="005F52C8" w:rsidP="005F52C8">
      <w:pPr>
        <w:spacing w:line="360" w:lineRule="auto"/>
        <w:jc w:val="both"/>
        <w:rPr>
          <w:rFonts w:eastAsia="TimesNewRoman"/>
          <w:b/>
        </w:rPr>
      </w:pPr>
      <w:r w:rsidRPr="00400E89">
        <w:rPr>
          <w:rFonts w:eastAsia="TimesNewRoman"/>
          <w:b/>
        </w:rPr>
        <w:t>Çocuk doğurma potansiyeli bulunan kadınlar/Doğum kontrolü (Kontrasepsiyon)</w:t>
      </w:r>
    </w:p>
    <w:p w:rsidR="005F52C8" w:rsidRPr="00400E89" w:rsidRDefault="005F52C8" w:rsidP="005F52C8">
      <w:pPr>
        <w:spacing w:line="360" w:lineRule="auto"/>
        <w:jc w:val="both"/>
        <w:rPr>
          <w:rFonts w:eastAsia="TimesNewRoman"/>
        </w:rPr>
      </w:pPr>
      <w:r w:rsidRPr="00400E89">
        <w:rPr>
          <w:rFonts w:eastAsia="TimesNewRoman"/>
        </w:rPr>
        <w:t>Sefpodoksimin çocuk doğurma potansiyeli olan kadınlarda kullanımına ilişkin yeterli veri mevcut değildir.</w:t>
      </w:r>
    </w:p>
    <w:p w:rsidR="005F52C8" w:rsidRPr="00400E89" w:rsidRDefault="005F52C8" w:rsidP="005F52C8">
      <w:pPr>
        <w:spacing w:line="360" w:lineRule="auto"/>
        <w:jc w:val="both"/>
        <w:rPr>
          <w:rFonts w:eastAsia="TimesNewRoman"/>
        </w:rPr>
      </w:pPr>
      <w:r w:rsidRPr="00400E89">
        <w:rPr>
          <w:rFonts w:eastAsia="TimesNewRoman"/>
        </w:rPr>
        <w:t>Hayvanlar üzerinde yapılan çalışmalar, gebelik / embriyonal / fetal gelişim / doğum ya da doğum sonrası gelişim ile ilgili olarak doğrudan ya da dolaylı zararlı etkiler olduğunu göstermemektedir.</w:t>
      </w:r>
    </w:p>
    <w:p w:rsidR="005F52C8" w:rsidRPr="00400E89" w:rsidRDefault="005F52C8" w:rsidP="005F52C8">
      <w:pPr>
        <w:spacing w:line="360" w:lineRule="auto"/>
        <w:jc w:val="both"/>
        <w:rPr>
          <w:rFonts w:eastAsia="TimesNewRoman"/>
          <w:b/>
        </w:rPr>
      </w:pPr>
      <w:r w:rsidRPr="00400E89">
        <w:rPr>
          <w:rFonts w:eastAsia="TimesNewRoman"/>
          <w:b/>
        </w:rPr>
        <w:t>Gebelik dönemi</w:t>
      </w:r>
    </w:p>
    <w:p w:rsidR="005F52C8" w:rsidRPr="00400E89" w:rsidRDefault="005F52C8" w:rsidP="005F52C8">
      <w:pPr>
        <w:spacing w:line="360" w:lineRule="auto"/>
        <w:jc w:val="both"/>
        <w:rPr>
          <w:rFonts w:eastAsia="TimesNewRoman"/>
        </w:rPr>
      </w:pPr>
      <w:r w:rsidRPr="00400E89">
        <w:rPr>
          <w:rFonts w:eastAsia="TimesNewRoman"/>
        </w:rPr>
        <w:t>Sefpodoksim için, gebeliklerde maruz kalmaya ilişkin klinik veri mevcut değildir. Gebe kadınlara verilirken dikkatli olunmalıdır.</w:t>
      </w:r>
    </w:p>
    <w:p w:rsidR="005F52C8" w:rsidRPr="00400E89" w:rsidRDefault="005F52C8" w:rsidP="005F52C8">
      <w:pPr>
        <w:spacing w:line="360" w:lineRule="auto"/>
        <w:jc w:val="both"/>
        <w:rPr>
          <w:rFonts w:eastAsia="TimesNewRoman"/>
          <w:b/>
        </w:rPr>
      </w:pPr>
      <w:r w:rsidRPr="00400E89">
        <w:rPr>
          <w:rFonts w:eastAsia="TimesNewRoman"/>
          <w:b/>
        </w:rPr>
        <w:t>Laktasyon dönemi</w:t>
      </w:r>
    </w:p>
    <w:p w:rsidR="005F52C8" w:rsidRPr="00400E89" w:rsidRDefault="005F52C8" w:rsidP="005F52C8">
      <w:pPr>
        <w:spacing w:line="360" w:lineRule="auto"/>
        <w:jc w:val="both"/>
        <w:rPr>
          <w:rFonts w:eastAsia="TimesNewRoman"/>
        </w:rPr>
      </w:pPr>
      <w:r w:rsidRPr="00400E89">
        <w:rPr>
          <w:rFonts w:eastAsia="TimesNewRoman"/>
        </w:rPr>
        <w:t>Sefpodoksim anne sütüne geçer. Bu nedenle emziren annelerde kullanılmamalıdır ya da emziren anne süt vermeyi kesmelidir.</w:t>
      </w:r>
    </w:p>
    <w:p w:rsidR="005F52C8" w:rsidRPr="00400E89" w:rsidRDefault="005F52C8" w:rsidP="005F52C8">
      <w:pPr>
        <w:spacing w:line="360" w:lineRule="auto"/>
        <w:jc w:val="both"/>
        <w:rPr>
          <w:rFonts w:eastAsia="TimesNewRoman"/>
          <w:b/>
        </w:rPr>
      </w:pPr>
      <w:r w:rsidRPr="00400E89">
        <w:rPr>
          <w:rFonts w:eastAsia="TimesNewRoman"/>
          <w:b/>
        </w:rPr>
        <w:t>Üreme yeteneği /Fertilite</w:t>
      </w:r>
    </w:p>
    <w:p w:rsidR="005F52C8" w:rsidRPr="00400E89" w:rsidRDefault="005F52C8" w:rsidP="005F52C8">
      <w:pPr>
        <w:spacing w:line="360" w:lineRule="auto"/>
        <w:jc w:val="both"/>
        <w:rPr>
          <w:rFonts w:eastAsia="TimesNewRoman"/>
        </w:rPr>
      </w:pPr>
      <w:r w:rsidRPr="00400E89">
        <w:rPr>
          <w:rFonts w:eastAsia="TimesNewRoman"/>
        </w:rPr>
        <w:t>Sefpodoksimin insanlarda üreme yeteneği üzerindeki etkisine ilişkin yeterli veri mevcut değildir. Hayvan çalışmalarında herhangi bir istenmeyen etki oluşmamıştır.</w:t>
      </w:r>
    </w:p>
    <w:p w:rsidR="00EA0C7E" w:rsidRPr="00400E89" w:rsidRDefault="00EA0C7E"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t>4.7.</w:t>
      </w:r>
      <w:r w:rsidRPr="00400E89">
        <w:rPr>
          <w:rFonts w:eastAsia="TimesNewRoman"/>
          <w:b/>
        </w:rPr>
        <w:tab/>
        <w:t>Araç ve makine kullanımı üzerindeki etkiler</w:t>
      </w:r>
    </w:p>
    <w:p w:rsidR="005F52C8" w:rsidRPr="00400E89" w:rsidRDefault="005F52C8" w:rsidP="005F52C8">
      <w:pPr>
        <w:spacing w:line="360" w:lineRule="auto"/>
        <w:jc w:val="both"/>
        <w:rPr>
          <w:rFonts w:eastAsia="TimesNewRoman"/>
        </w:rPr>
      </w:pPr>
      <w:r w:rsidRPr="00400E89">
        <w:rPr>
          <w:rFonts w:eastAsia="TimesNewRoman"/>
        </w:rPr>
        <w:t>Sersemlik hissi nedeniyle araç ya da makine kullanımı konusunda dikkatli olunmalıdır.</w:t>
      </w:r>
    </w:p>
    <w:p w:rsidR="00EA0C7E" w:rsidRPr="00400E89" w:rsidRDefault="00EA0C7E" w:rsidP="00AB7A26">
      <w:pPr>
        <w:jc w:val="both"/>
        <w:rPr>
          <w:rFonts w:eastAsia="TimesNewRoman"/>
        </w:rPr>
      </w:pPr>
    </w:p>
    <w:p w:rsidR="00AB7A26" w:rsidRPr="00400E89" w:rsidRDefault="00AB7A26" w:rsidP="00AB7A26">
      <w:pPr>
        <w:jc w:val="both"/>
        <w:rPr>
          <w:rFonts w:eastAsia="TimesNewRoman"/>
        </w:rPr>
      </w:pPr>
    </w:p>
    <w:p w:rsidR="00E6665E" w:rsidRPr="00400E89" w:rsidRDefault="00E6665E" w:rsidP="00AB7A26">
      <w:pPr>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lastRenderedPageBreak/>
        <w:t>4.8.</w:t>
      </w:r>
      <w:r w:rsidRPr="00400E89">
        <w:rPr>
          <w:rFonts w:eastAsia="TimesNewRoman"/>
          <w:b/>
        </w:rPr>
        <w:tab/>
        <w:t>İstenmeyen etkiler</w:t>
      </w:r>
    </w:p>
    <w:p w:rsidR="005F52C8" w:rsidRPr="00400E89" w:rsidRDefault="005F52C8" w:rsidP="005F52C8">
      <w:pPr>
        <w:spacing w:line="360" w:lineRule="auto"/>
        <w:jc w:val="both"/>
        <w:rPr>
          <w:rFonts w:eastAsia="TimesNewRoman"/>
        </w:rPr>
      </w:pPr>
      <w:r w:rsidRPr="00400E89">
        <w:rPr>
          <w:rFonts w:eastAsia="TimesNewRoman"/>
        </w:rPr>
        <w:t>Sefpodoksim kullanımı sırasında aşağıdaki istenmeyen etkiler bildirilmiştir:</w:t>
      </w:r>
    </w:p>
    <w:p w:rsidR="00E923A9" w:rsidRPr="00400E89" w:rsidRDefault="005F52C8" w:rsidP="00E923A9">
      <w:pPr>
        <w:spacing w:line="360" w:lineRule="auto"/>
        <w:jc w:val="both"/>
        <w:rPr>
          <w:b/>
        </w:rPr>
      </w:pPr>
      <w:r w:rsidRPr="00400E89">
        <w:rPr>
          <w:rFonts w:eastAsia="TimesNewRoman"/>
        </w:rPr>
        <w:t xml:space="preserve">İstenmeyen etkilerin görülme sıklığı aşağıdaki gibi derecelendirilmiştir: </w:t>
      </w:r>
      <w:r w:rsidR="00E923A9" w:rsidRPr="00400E89">
        <w:t>Çok yaygın (≥1/10); yaygın (≥1/100, &lt;1/10); yaygın olmayan (≥1/1000, &lt;1/100); seyrek (≥1/10.000, &lt;1/1000); çok seyrek (&lt;1/10.000), bilinmiyor (eldeki verilerden hareketle tahmin edilemiyor).</w:t>
      </w:r>
    </w:p>
    <w:p w:rsidR="005F52C8" w:rsidRPr="00400E89" w:rsidRDefault="005F52C8" w:rsidP="005F52C8">
      <w:pPr>
        <w:spacing w:line="360" w:lineRule="auto"/>
        <w:jc w:val="both"/>
        <w:rPr>
          <w:rFonts w:eastAsia="TimesNewRoman"/>
          <w:b/>
        </w:rPr>
      </w:pPr>
      <w:r w:rsidRPr="00400E89">
        <w:rPr>
          <w:rFonts w:eastAsia="TimesNewRoman"/>
          <w:b/>
        </w:rPr>
        <w:t>İmmün sistem bozuklukları</w:t>
      </w:r>
    </w:p>
    <w:p w:rsidR="005F52C8" w:rsidRPr="00400E89" w:rsidRDefault="005F52C8" w:rsidP="005F52C8">
      <w:pPr>
        <w:spacing w:line="360" w:lineRule="auto"/>
        <w:jc w:val="both"/>
        <w:rPr>
          <w:rFonts w:eastAsia="TimesNewRoman"/>
        </w:rPr>
      </w:pPr>
      <w:r w:rsidRPr="00400E89">
        <w:rPr>
          <w:rFonts w:eastAsia="TimesNewRoman"/>
        </w:rPr>
        <w:t>Seyrek: Mukokutanöz aşırı duyarlılık reaksiyonları, deri döküntüleri ve kaşıntı (prurit) anafilaktik reaksiyonlar, bronkospazm, purpura ve anjiyoödem, döküntü, ateş ve artralji ile birlikte serum hastalığına benzer reaksiyonlar</w:t>
      </w:r>
    </w:p>
    <w:p w:rsidR="005F52C8" w:rsidRPr="00400E89" w:rsidRDefault="005F52C8" w:rsidP="005F52C8">
      <w:pPr>
        <w:spacing w:line="360" w:lineRule="auto"/>
        <w:jc w:val="both"/>
        <w:rPr>
          <w:rFonts w:eastAsia="TimesNewRoman"/>
          <w:b/>
        </w:rPr>
      </w:pPr>
      <w:r w:rsidRPr="00400E89">
        <w:rPr>
          <w:rFonts w:eastAsia="TimesNewRoman"/>
          <w:b/>
        </w:rPr>
        <w:t>Hematolojik bozukluklar</w:t>
      </w:r>
    </w:p>
    <w:p w:rsidR="005F52C8" w:rsidRPr="00400E89" w:rsidRDefault="005F52C8" w:rsidP="005F52C8">
      <w:pPr>
        <w:spacing w:line="360" w:lineRule="auto"/>
        <w:jc w:val="both"/>
        <w:rPr>
          <w:rFonts w:eastAsia="TimesNewRoman"/>
        </w:rPr>
      </w:pPr>
      <w:r w:rsidRPr="00400E89">
        <w:rPr>
          <w:rFonts w:eastAsia="TimesNewRoman"/>
        </w:rPr>
        <w:t>Seyrek: Hemolitik anemi</w:t>
      </w:r>
    </w:p>
    <w:p w:rsidR="005F52C8" w:rsidRPr="00400E89" w:rsidRDefault="005F52C8" w:rsidP="005F52C8">
      <w:pPr>
        <w:spacing w:line="360" w:lineRule="auto"/>
        <w:jc w:val="both"/>
        <w:rPr>
          <w:rFonts w:eastAsia="TimesNewRoman"/>
        </w:rPr>
      </w:pPr>
      <w:r w:rsidRPr="00400E89">
        <w:rPr>
          <w:rFonts w:eastAsia="TimesNewRoman"/>
        </w:rPr>
        <w:t>Çok seyrek: Nötropeni, agranülositoz</w:t>
      </w:r>
    </w:p>
    <w:p w:rsidR="005F52C8" w:rsidRPr="00400E89" w:rsidRDefault="005F52C8" w:rsidP="005F52C8">
      <w:pPr>
        <w:spacing w:line="360" w:lineRule="auto"/>
        <w:jc w:val="both"/>
        <w:rPr>
          <w:rFonts w:eastAsia="TimesNewRoman"/>
        </w:rPr>
      </w:pPr>
      <w:r w:rsidRPr="00400E89">
        <w:rPr>
          <w:rFonts w:eastAsia="TimesNewRoman"/>
        </w:rPr>
        <w:t>Bilinmiyor: Hemoglobin seviyesinde azalma, trombositoz, trombositopeni, lökopeni ve eozinofili</w:t>
      </w:r>
    </w:p>
    <w:p w:rsidR="005F52C8" w:rsidRPr="00400E89" w:rsidRDefault="005F52C8" w:rsidP="005F52C8">
      <w:pPr>
        <w:spacing w:line="360" w:lineRule="auto"/>
        <w:jc w:val="both"/>
        <w:rPr>
          <w:rFonts w:eastAsia="TimesNewRoman"/>
          <w:b/>
        </w:rPr>
      </w:pPr>
      <w:r w:rsidRPr="00400E89">
        <w:rPr>
          <w:rFonts w:eastAsia="TimesNewRoman"/>
          <w:b/>
        </w:rPr>
        <w:t>Sinir sistemi bozuklukları</w:t>
      </w:r>
    </w:p>
    <w:p w:rsidR="005F52C8" w:rsidRPr="00400E89" w:rsidRDefault="005F52C8" w:rsidP="005F52C8">
      <w:pPr>
        <w:spacing w:line="360" w:lineRule="auto"/>
        <w:jc w:val="both"/>
        <w:rPr>
          <w:rFonts w:eastAsia="TimesNewRoman"/>
        </w:rPr>
      </w:pPr>
      <w:r w:rsidRPr="00400E89">
        <w:rPr>
          <w:rFonts w:eastAsia="TimesNewRoman"/>
        </w:rPr>
        <w:t>Yaygın olmayan: Baş ağrısı, baş dönmesi, tinnitus, parestezi</w:t>
      </w:r>
    </w:p>
    <w:p w:rsidR="005F52C8" w:rsidRPr="00400E89" w:rsidRDefault="005F52C8" w:rsidP="005F52C8">
      <w:pPr>
        <w:spacing w:line="360" w:lineRule="auto"/>
        <w:jc w:val="both"/>
        <w:rPr>
          <w:rFonts w:eastAsia="TimesNewRoman"/>
          <w:b/>
        </w:rPr>
      </w:pPr>
      <w:r w:rsidRPr="00400E89">
        <w:rPr>
          <w:rFonts w:eastAsia="TimesNewRoman"/>
          <w:b/>
        </w:rPr>
        <w:t>Gastrointestinal sistem bozuklukları</w:t>
      </w:r>
    </w:p>
    <w:p w:rsidR="005F52C8" w:rsidRPr="00400E89" w:rsidRDefault="005F52C8" w:rsidP="005F52C8">
      <w:pPr>
        <w:spacing w:line="360" w:lineRule="auto"/>
        <w:jc w:val="both"/>
        <w:rPr>
          <w:rFonts w:eastAsia="TimesNewRoman"/>
        </w:rPr>
      </w:pPr>
      <w:r w:rsidRPr="00400E89">
        <w:rPr>
          <w:rFonts w:eastAsia="TimesNewRoman"/>
        </w:rPr>
        <w:t>Yaygın: Diyare, antibiyotik-ilişkili kolit, bulantı, kusma, karın ağrısı</w:t>
      </w:r>
    </w:p>
    <w:p w:rsidR="005F52C8" w:rsidRPr="00400E89" w:rsidRDefault="005F52C8" w:rsidP="005F52C8">
      <w:pPr>
        <w:spacing w:line="360" w:lineRule="auto"/>
        <w:jc w:val="both"/>
        <w:rPr>
          <w:rFonts w:eastAsia="TimesNewRoman"/>
          <w:b/>
        </w:rPr>
      </w:pPr>
      <w:r w:rsidRPr="00400E89">
        <w:rPr>
          <w:rFonts w:eastAsia="TimesNewRoman"/>
          <w:b/>
        </w:rPr>
        <w:t>Deri ve subkütan doku bozuklukları</w:t>
      </w:r>
    </w:p>
    <w:p w:rsidR="005F52C8" w:rsidRPr="00400E89" w:rsidRDefault="005F52C8" w:rsidP="005F52C8">
      <w:pPr>
        <w:spacing w:line="360" w:lineRule="auto"/>
        <w:jc w:val="both"/>
        <w:rPr>
          <w:rFonts w:eastAsia="TimesNewRoman"/>
        </w:rPr>
      </w:pPr>
      <w:r w:rsidRPr="00400E89">
        <w:rPr>
          <w:rFonts w:eastAsia="TimesNewRoman"/>
        </w:rPr>
        <w:t>Yaygın: Ürtiker, kaşıntı, deri döküntüsü</w:t>
      </w:r>
    </w:p>
    <w:p w:rsidR="005F52C8" w:rsidRPr="00400E89" w:rsidRDefault="005F52C8" w:rsidP="005F52C8">
      <w:pPr>
        <w:spacing w:line="360" w:lineRule="auto"/>
        <w:jc w:val="both"/>
        <w:rPr>
          <w:rFonts w:eastAsia="TimesNewRoman"/>
        </w:rPr>
      </w:pPr>
      <w:r w:rsidRPr="00400E89">
        <w:rPr>
          <w:rFonts w:eastAsia="TimesNewRoman"/>
        </w:rPr>
        <w:t xml:space="preserve">Seyrek: Stevens-Johnson </w:t>
      </w:r>
      <w:proofErr w:type="gramStart"/>
      <w:r w:rsidRPr="00400E89">
        <w:rPr>
          <w:rFonts w:eastAsia="TimesNewRoman"/>
        </w:rPr>
        <w:t>sendromu</w:t>
      </w:r>
      <w:proofErr w:type="gramEnd"/>
      <w:r w:rsidRPr="00400E89">
        <w:rPr>
          <w:rFonts w:eastAsia="TimesNewRoman"/>
        </w:rPr>
        <w:t>, toksik epidermal nekroliz, erythema multiforme</w:t>
      </w:r>
    </w:p>
    <w:p w:rsidR="005F52C8" w:rsidRPr="00400E89" w:rsidRDefault="005F52C8" w:rsidP="005F52C8">
      <w:pPr>
        <w:spacing w:line="360" w:lineRule="auto"/>
        <w:jc w:val="both"/>
        <w:rPr>
          <w:rFonts w:eastAsia="TimesNewRoman"/>
          <w:b/>
        </w:rPr>
      </w:pPr>
      <w:r w:rsidRPr="00400E89">
        <w:rPr>
          <w:rFonts w:eastAsia="TimesNewRoman"/>
          <w:b/>
        </w:rPr>
        <w:t>Hepatobiliyer bozukluklar</w:t>
      </w:r>
    </w:p>
    <w:p w:rsidR="00E923A9" w:rsidRPr="00400E89" w:rsidRDefault="005F52C8" w:rsidP="005F52C8">
      <w:pPr>
        <w:spacing w:line="360" w:lineRule="auto"/>
        <w:jc w:val="both"/>
        <w:rPr>
          <w:rFonts w:eastAsia="TimesNewRoman"/>
        </w:rPr>
      </w:pPr>
      <w:r w:rsidRPr="00400E89">
        <w:rPr>
          <w:rFonts w:eastAsia="TimesNewRoman"/>
        </w:rPr>
        <w:t xml:space="preserve">Seyrek: AST, ALT ve alkalin fosfataz, bilirubin seviyelerinde artış </w:t>
      </w:r>
    </w:p>
    <w:p w:rsidR="005F52C8" w:rsidRPr="00400E89" w:rsidRDefault="005F52C8" w:rsidP="005F52C8">
      <w:pPr>
        <w:spacing w:line="360" w:lineRule="auto"/>
        <w:jc w:val="both"/>
        <w:rPr>
          <w:rFonts w:eastAsia="TimesNewRoman"/>
        </w:rPr>
      </w:pPr>
      <w:r w:rsidRPr="00400E89">
        <w:rPr>
          <w:rFonts w:eastAsia="TimesNewRoman"/>
        </w:rPr>
        <w:t>Bilinmiyor: Karaciğer hasarı</w:t>
      </w:r>
    </w:p>
    <w:p w:rsidR="005F52C8" w:rsidRPr="00400E89" w:rsidRDefault="005F52C8" w:rsidP="005F52C8">
      <w:pPr>
        <w:spacing w:line="360" w:lineRule="auto"/>
        <w:jc w:val="both"/>
        <w:rPr>
          <w:rFonts w:eastAsia="TimesNewRoman"/>
          <w:b/>
        </w:rPr>
      </w:pPr>
      <w:r w:rsidRPr="00400E89">
        <w:rPr>
          <w:rFonts w:eastAsia="TimesNewRoman"/>
          <w:b/>
        </w:rPr>
        <w:t>Böbrek ile ilgili bozukluklar</w:t>
      </w:r>
    </w:p>
    <w:p w:rsidR="005F52C8" w:rsidRPr="00400E89" w:rsidRDefault="005F52C8" w:rsidP="005F52C8">
      <w:pPr>
        <w:spacing w:line="360" w:lineRule="auto"/>
        <w:jc w:val="both"/>
        <w:rPr>
          <w:rFonts w:eastAsia="TimesNewRoman"/>
        </w:rPr>
      </w:pPr>
      <w:r w:rsidRPr="00400E89">
        <w:rPr>
          <w:rFonts w:eastAsia="TimesNewRoman"/>
        </w:rPr>
        <w:t>Seyrek: Kan üre ve kreatinin seviyelerinde artış</w:t>
      </w:r>
    </w:p>
    <w:p w:rsidR="005F52C8" w:rsidRPr="00400E89" w:rsidRDefault="005F52C8" w:rsidP="005F52C8">
      <w:pPr>
        <w:spacing w:line="360" w:lineRule="auto"/>
        <w:jc w:val="both"/>
        <w:rPr>
          <w:rFonts w:eastAsia="TimesNewRoman"/>
          <w:b/>
        </w:rPr>
      </w:pPr>
      <w:r w:rsidRPr="00400E89">
        <w:rPr>
          <w:rFonts w:eastAsia="TimesNewRoman"/>
          <w:b/>
        </w:rPr>
        <w:t>Genel bozukluklar</w:t>
      </w:r>
    </w:p>
    <w:p w:rsidR="005F52C8" w:rsidRPr="00400E89" w:rsidRDefault="005F52C8" w:rsidP="005F52C8">
      <w:pPr>
        <w:spacing w:line="360" w:lineRule="auto"/>
        <w:jc w:val="both"/>
        <w:rPr>
          <w:rFonts w:eastAsia="TimesNewRoman"/>
        </w:rPr>
      </w:pPr>
      <w:r w:rsidRPr="00400E89">
        <w:rPr>
          <w:rFonts w:eastAsia="TimesNewRoman"/>
        </w:rPr>
        <w:t>Yaygın olmayan: Asteni, kırıklık (malez)</w:t>
      </w:r>
    </w:p>
    <w:p w:rsidR="00B00C5A" w:rsidRPr="00400E89" w:rsidRDefault="00B00C5A" w:rsidP="00B00C5A">
      <w:pPr>
        <w:tabs>
          <w:tab w:val="left" w:pos="142"/>
          <w:tab w:val="left" w:pos="284"/>
          <w:tab w:val="left" w:pos="426"/>
        </w:tabs>
        <w:spacing w:line="360" w:lineRule="auto"/>
        <w:jc w:val="both"/>
        <w:rPr>
          <w:u w:val="single"/>
          <w:lang w:eastAsia="nl-NL"/>
        </w:rPr>
      </w:pPr>
      <w:r w:rsidRPr="00400E89">
        <w:rPr>
          <w:rFonts w:hint="eastAsia"/>
          <w:u w:val="single"/>
          <w:lang w:eastAsia="nl-NL"/>
        </w:rPr>
        <w:t>Ş</w:t>
      </w:r>
      <w:r w:rsidRPr="00400E89">
        <w:rPr>
          <w:u w:val="single"/>
          <w:lang w:eastAsia="nl-NL"/>
        </w:rPr>
        <w:t xml:space="preserve">üpheli </w:t>
      </w:r>
      <w:proofErr w:type="spellStart"/>
      <w:r w:rsidRPr="00400E89">
        <w:rPr>
          <w:u w:val="single"/>
          <w:lang w:eastAsia="nl-NL"/>
        </w:rPr>
        <w:t>advers</w:t>
      </w:r>
      <w:proofErr w:type="spellEnd"/>
      <w:r w:rsidRPr="00400E89">
        <w:rPr>
          <w:u w:val="single"/>
          <w:lang w:eastAsia="nl-NL"/>
        </w:rPr>
        <w:t xml:space="preserve"> reaksiyonlar</w:t>
      </w:r>
      <w:r w:rsidRPr="00400E89">
        <w:rPr>
          <w:rFonts w:hint="eastAsia"/>
          <w:u w:val="single"/>
          <w:lang w:eastAsia="nl-NL"/>
        </w:rPr>
        <w:t>ı</w:t>
      </w:r>
      <w:r w:rsidRPr="00400E89">
        <w:rPr>
          <w:u w:val="single"/>
          <w:lang w:eastAsia="nl-NL"/>
        </w:rPr>
        <w:t>n raporlanmas</w:t>
      </w:r>
      <w:r w:rsidRPr="00400E89">
        <w:rPr>
          <w:rFonts w:hint="eastAsia"/>
          <w:u w:val="single"/>
          <w:lang w:eastAsia="nl-NL"/>
        </w:rPr>
        <w:t>ı</w:t>
      </w:r>
    </w:p>
    <w:p w:rsidR="00B00C5A" w:rsidRPr="00400E89" w:rsidRDefault="00B00C5A" w:rsidP="00B00C5A">
      <w:pPr>
        <w:tabs>
          <w:tab w:val="left" w:pos="142"/>
          <w:tab w:val="left" w:pos="284"/>
          <w:tab w:val="left" w:pos="426"/>
        </w:tabs>
        <w:spacing w:line="360" w:lineRule="auto"/>
        <w:jc w:val="both"/>
        <w:rPr>
          <w:lang w:eastAsia="nl-NL"/>
        </w:rPr>
      </w:pPr>
      <w:r w:rsidRPr="00400E89">
        <w:rPr>
          <w:lang w:eastAsia="nl-NL"/>
        </w:rPr>
        <w:t>Ruhsatland</w:t>
      </w:r>
      <w:r w:rsidRPr="00400E89">
        <w:rPr>
          <w:rFonts w:hint="eastAsia"/>
          <w:lang w:eastAsia="nl-NL"/>
        </w:rPr>
        <w:t>ı</w:t>
      </w:r>
      <w:r w:rsidRPr="00400E89">
        <w:rPr>
          <w:lang w:eastAsia="nl-NL"/>
        </w:rPr>
        <w:t>rma sonras</w:t>
      </w:r>
      <w:r w:rsidRPr="00400E89">
        <w:rPr>
          <w:rFonts w:hint="eastAsia"/>
          <w:lang w:eastAsia="nl-NL"/>
        </w:rPr>
        <w:t>ı</w:t>
      </w:r>
      <w:r w:rsidRPr="00400E89">
        <w:rPr>
          <w:lang w:eastAsia="nl-NL"/>
        </w:rPr>
        <w:t xml:space="preserve"> </w:t>
      </w:r>
      <w:r w:rsidRPr="00400E89">
        <w:rPr>
          <w:rFonts w:hint="eastAsia"/>
          <w:lang w:eastAsia="nl-NL"/>
        </w:rPr>
        <w:t>ş</w:t>
      </w:r>
      <w:r w:rsidRPr="00400E89">
        <w:rPr>
          <w:lang w:eastAsia="nl-NL"/>
        </w:rPr>
        <w:t xml:space="preserve">üpheli ilaç </w:t>
      </w:r>
      <w:proofErr w:type="spellStart"/>
      <w:r w:rsidRPr="00400E89">
        <w:rPr>
          <w:lang w:eastAsia="nl-NL"/>
        </w:rPr>
        <w:t>advers</w:t>
      </w:r>
      <w:proofErr w:type="spellEnd"/>
      <w:r w:rsidRPr="00400E89">
        <w:rPr>
          <w:lang w:eastAsia="nl-NL"/>
        </w:rPr>
        <w:t xml:space="preserve"> reaksiyonlar</w:t>
      </w:r>
      <w:r w:rsidRPr="00400E89">
        <w:rPr>
          <w:rFonts w:hint="eastAsia"/>
          <w:lang w:eastAsia="nl-NL"/>
        </w:rPr>
        <w:t>ı</w:t>
      </w:r>
      <w:r w:rsidRPr="00400E89">
        <w:rPr>
          <w:lang w:eastAsia="nl-NL"/>
        </w:rPr>
        <w:t>n</w:t>
      </w:r>
      <w:r w:rsidRPr="00400E89">
        <w:rPr>
          <w:rFonts w:hint="eastAsia"/>
          <w:lang w:eastAsia="nl-NL"/>
        </w:rPr>
        <w:t>ı</w:t>
      </w:r>
      <w:r w:rsidRPr="00400E89">
        <w:rPr>
          <w:lang w:eastAsia="nl-NL"/>
        </w:rPr>
        <w:t>n raporlanmas</w:t>
      </w:r>
      <w:r w:rsidRPr="00400E89">
        <w:rPr>
          <w:rFonts w:hint="eastAsia"/>
          <w:lang w:eastAsia="nl-NL"/>
        </w:rPr>
        <w:t>ı</w:t>
      </w:r>
      <w:r w:rsidRPr="00400E89">
        <w:rPr>
          <w:lang w:eastAsia="nl-NL"/>
        </w:rPr>
        <w:t xml:space="preserve"> büyük önem ta</w:t>
      </w:r>
      <w:r w:rsidRPr="00400E89">
        <w:rPr>
          <w:rFonts w:hint="eastAsia"/>
          <w:lang w:eastAsia="nl-NL"/>
        </w:rPr>
        <w:t>şı</w:t>
      </w:r>
      <w:r w:rsidRPr="00400E89">
        <w:rPr>
          <w:lang w:eastAsia="nl-NL"/>
        </w:rPr>
        <w:t>maktad</w:t>
      </w:r>
      <w:r w:rsidRPr="00400E89">
        <w:rPr>
          <w:rFonts w:hint="eastAsia"/>
          <w:lang w:eastAsia="nl-NL"/>
        </w:rPr>
        <w:t>ı</w:t>
      </w:r>
      <w:r w:rsidRPr="00400E89">
        <w:rPr>
          <w:lang w:eastAsia="nl-NL"/>
        </w:rPr>
        <w:t>r. Raporlama yap</w:t>
      </w:r>
      <w:r w:rsidRPr="00400E89">
        <w:rPr>
          <w:rFonts w:hint="eastAsia"/>
          <w:lang w:eastAsia="nl-NL"/>
        </w:rPr>
        <w:t>ı</w:t>
      </w:r>
      <w:r w:rsidRPr="00400E89">
        <w:rPr>
          <w:lang w:eastAsia="nl-NL"/>
        </w:rPr>
        <w:t>lmas</w:t>
      </w:r>
      <w:r w:rsidRPr="00400E89">
        <w:rPr>
          <w:rFonts w:hint="eastAsia"/>
          <w:lang w:eastAsia="nl-NL"/>
        </w:rPr>
        <w:t>ı</w:t>
      </w:r>
      <w:r w:rsidRPr="00400E89">
        <w:rPr>
          <w:lang w:eastAsia="nl-NL"/>
        </w:rPr>
        <w:t>, ilac</w:t>
      </w:r>
      <w:r w:rsidRPr="00400E89">
        <w:rPr>
          <w:rFonts w:hint="eastAsia"/>
          <w:lang w:eastAsia="nl-NL"/>
        </w:rPr>
        <w:t>ı</w:t>
      </w:r>
      <w:r w:rsidRPr="00400E89">
        <w:rPr>
          <w:lang w:eastAsia="nl-NL"/>
        </w:rPr>
        <w:t>n yarar/risk dengesinin sürekli olarak izlenmesine olanak sa</w:t>
      </w:r>
      <w:r w:rsidRPr="00400E89">
        <w:rPr>
          <w:rFonts w:hint="eastAsia"/>
          <w:lang w:eastAsia="nl-NL"/>
        </w:rPr>
        <w:t>ğ</w:t>
      </w:r>
      <w:r w:rsidRPr="00400E89">
        <w:rPr>
          <w:lang w:eastAsia="nl-NL"/>
        </w:rPr>
        <w:t>lar. Sa</w:t>
      </w:r>
      <w:r w:rsidRPr="00400E89">
        <w:rPr>
          <w:rFonts w:hint="eastAsia"/>
          <w:lang w:eastAsia="nl-NL"/>
        </w:rPr>
        <w:t>ğ</w:t>
      </w:r>
      <w:r w:rsidRPr="00400E89">
        <w:rPr>
          <w:lang w:eastAsia="nl-NL"/>
        </w:rPr>
        <w:t>l</w:t>
      </w:r>
      <w:r w:rsidRPr="00400E89">
        <w:rPr>
          <w:rFonts w:hint="eastAsia"/>
          <w:lang w:eastAsia="nl-NL"/>
        </w:rPr>
        <w:t>ı</w:t>
      </w:r>
      <w:r w:rsidRPr="00400E89">
        <w:rPr>
          <w:lang w:eastAsia="nl-NL"/>
        </w:rPr>
        <w:t>k mesle</w:t>
      </w:r>
      <w:r w:rsidRPr="00400E89">
        <w:rPr>
          <w:rFonts w:hint="eastAsia"/>
          <w:lang w:eastAsia="nl-NL"/>
        </w:rPr>
        <w:t>ğ</w:t>
      </w:r>
      <w:r w:rsidRPr="00400E89">
        <w:rPr>
          <w:lang w:eastAsia="nl-NL"/>
        </w:rPr>
        <w:t>i mensuplar</w:t>
      </w:r>
      <w:r w:rsidRPr="00400E89">
        <w:rPr>
          <w:rFonts w:hint="eastAsia"/>
          <w:lang w:eastAsia="nl-NL"/>
        </w:rPr>
        <w:t>ı</w:t>
      </w:r>
      <w:r w:rsidRPr="00400E89">
        <w:rPr>
          <w:lang w:eastAsia="nl-NL"/>
        </w:rPr>
        <w:t>n</w:t>
      </w:r>
      <w:r w:rsidRPr="00400E89">
        <w:rPr>
          <w:rFonts w:hint="eastAsia"/>
          <w:lang w:eastAsia="nl-NL"/>
        </w:rPr>
        <w:t>ı</w:t>
      </w:r>
      <w:r w:rsidRPr="00400E89">
        <w:rPr>
          <w:lang w:eastAsia="nl-NL"/>
        </w:rPr>
        <w:t xml:space="preserve">n herhangi bir </w:t>
      </w:r>
      <w:r w:rsidRPr="00400E89">
        <w:rPr>
          <w:rFonts w:hint="eastAsia"/>
          <w:lang w:eastAsia="nl-NL"/>
        </w:rPr>
        <w:t>şü</w:t>
      </w:r>
      <w:r w:rsidRPr="00400E89">
        <w:rPr>
          <w:lang w:eastAsia="nl-NL"/>
        </w:rPr>
        <w:t xml:space="preserve">pheli </w:t>
      </w:r>
      <w:proofErr w:type="spellStart"/>
      <w:r w:rsidRPr="00400E89">
        <w:rPr>
          <w:lang w:eastAsia="nl-NL"/>
        </w:rPr>
        <w:t>advers</w:t>
      </w:r>
      <w:proofErr w:type="spellEnd"/>
      <w:r w:rsidRPr="00400E89">
        <w:rPr>
          <w:lang w:eastAsia="nl-NL"/>
        </w:rPr>
        <w:t xml:space="preserve"> reaksiyonu Türkiye </w:t>
      </w:r>
      <w:proofErr w:type="spellStart"/>
      <w:r w:rsidRPr="00400E89">
        <w:rPr>
          <w:lang w:eastAsia="nl-NL"/>
        </w:rPr>
        <w:t>Farmakovijilans</w:t>
      </w:r>
      <w:proofErr w:type="spellEnd"/>
      <w:r w:rsidRPr="00400E89">
        <w:rPr>
          <w:lang w:eastAsia="nl-NL"/>
        </w:rPr>
        <w:t xml:space="preserve"> Merkezi (TÜFAM)'ne bildirmeleri gerekmektedir. (</w:t>
      </w:r>
      <w:r w:rsidRPr="00400E89">
        <w:rPr>
          <w:u w:val="single"/>
          <w:lang w:eastAsia="nl-NL"/>
        </w:rPr>
        <w:t>www.</w:t>
      </w:r>
      <w:proofErr w:type="spellStart"/>
      <w:r w:rsidRPr="00400E89">
        <w:rPr>
          <w:u w:val="single"/>
          <w:lang w:eastAsia="nl-NL"/>
        </w:rPr>
        <w:t>titck</w:t>
      </w:r>
      <w:proofErr w:type="spellEnd"/>
      <w:r w:rsidRPr="00400E89">
        <w:rPr>
          <w:u w:val="single"/>
          <w:lang w:eastAsia="nl-NL"/>
        </w:rPr>
        <w:t>.gov.tr</w:t>
      </w:r>
      <w:r w:rsidRPr="00400E89">
        <w:rPr>
          <w:lang w:eastAsia="nl-NL"/>
        </w:rPr>
        <w:t xml:space="preserve">;          e-posta: </w:t>
      </w:r>
      <w:proofErr w:type="spellStart"/>
      <w:r w:rsidRPr="00400E89">
        <w:rPr>
          <w:u w:val="single"/>
          <w:lang w:eastAsia="nl-NL"/>
        </w:rPr>
        <w:t>tufam</w:t>
      </w:r>
      <w:proofErr w:type="spellEnd"/>
      <w:r w:rsidRPr="00400E89">
        <w:rPr>
          <w:u w:val="single"/>
          <w:lang w:eastAsia="nl-NL"/>
        </w:rPr>
        <w:t>@</w:t>
      </w:r>
      <w:proofErr w:type="spellStart"/>
      <w:r w:rsidRPr="00400E89">
        <w:rPr>
          <w:u w:val="single"/>
          <w:lang w:eastAsia="nl-NL"/>
        </w:rPr>
        <w:t>titck</w:t>
      </w:r>
      <w:proofErr w:type="spellEnd"/>
      <w:r w:rsidRPr="00400E89">
        <w:rPr>
          <w:u w:val="single"/>
          <w:lang w:eastAsia="nl-NL"/>
        </w:rPr>
        <w:t>.gov.tr</w:t>
      </w:r>
      <w:r w:rsidRPr="00400E89">
        <w:rPr>
          <w:lang w:eastAsia="nl-NL"/>
        </w:rPr>
        <w:t>; tel: 0 800 314 00 08; faks: 0 312 218 35 99)</w:t>
      </w:r>
    </w:p>
    <w:p w:rsidR="005F52C8" w:rsidRPr="00400E89" w:rsidRDefault="005F52C8" w:rsidP="005F52C8">
      <w:pPr>
        <w:spacing w:line="360" w:lineRule="auto"/>
        <w:jc w:val="both"/>
        <w:rPr>
          <w:rFonts w:eastAsia="TimesNewRoman"/>
          <w:b/>
        </w:rPr>
      </w:pPr>
      <w:r w:rsidRPr="00400E89">
        <w:rPr>
          <w:rFonts w:eastAsia="TimesNewRoman"/>
          <w:b/>
        </w:rPr>
        <w:lastRenderedPageBreak/>
        <w:t xml:space="preserve">4.9. </w:t>
      </w:r>
      <w:r w:rsidR="00E923A9" w:rsidRPr="00400E89">
        <w:rPr>
          <w:rFonts w:eastAsia="TimesNewRoman"/>
          <w:b/>
        </w:rPr>
        <w:tab/>
      </w:r>
      <w:r w:rsidRPr="00400E89">
        <w:rPr>
          <w:rFonts w:eastAsia="TimesNewRoman"/>
          <w:b/>
        </w:rPr>
        <w:t>Doz aşımı ve tedavisi</w:t>
      </w:r>
    </w:p>
    <w:p w:rsidR="005F52C8" w:rsidRPr="00400E89" w:rsidRDefault="005F52C8" w:rsidP="005F52C8">
      <w:pPr>
        <w:spacing w:line="360" w:lineRule="auto"/>
        <w:jc w:val="both"/>
        <w:rPr>
          <w:rFonts w:eastAsia="TimesNewRoman"/>
        </w:rPr>
      </w:pPr>
      <w:r w:rsidRPr="00400E89">
        <w:rPr>
          <w:rFonts w:eastAsia="TimesNewRoman"/>
        </w:rPr>
        <w:t>Sefpodoksimin doz aşımı vakasında, destekleyici ve semptomatik tedavi endikedir. Doz aşımı vakalarında, özellikle renal yetmezliği olan hastalarda, ensefalopati oluşabilir. Ensefalopati, sefpodoksim plazma düzeyi düşürüldüğü zaman genellikle reversibildir.</w:t>
      </w:r>
    </w:p>
    <w:p w:rsidR="00AB7A26" w:rsidRPr="00400E89" w:rsidRDefault="00AB7A26" w:rsidP="005F52C8">
      <w:pPr>
        <w:spacing w:line="360" w:lineRule="auto"/>
        <w:jc w:val="both"/>
        <w:rPr>
          <w:rFonts w:eastAsia="TimesNewRoman"/>
        </w:rPr>
      </w:pPr>
    </w:p>
    <w:p w:rsidR="005F52C8" w:rsidRPr="00400E89" w:rsidRDefault="005F52C8" w:rsidP="005F52C8">
      <w:pPr>
        <w:spacing w:line="360" w:lineRule="auto"/>
        <w:jc w:val="both"/>
        <w:rPr>
          <w:rFonts w:eastAsia="TimesNewRoman"/>
        </w:rPr>
      </w:pPr>
      <w:r w:rsidRPr="00400E89">
        <w:rPr>
          <w:rFonts w:eastAsia="TimesNewRoman"/>
        </w:rPr>
        <w:t>Doz aşımından meydana gelen ciddi toksik reaksiyonlarda, böbrek fonksiyonlarında bozukluk görülen hastalarda hemodiyaliz ya da peritonal diyaliz, sefpodoksimin vücuttan atılmasına yardımcı olabilir. Beta-laktam antibiyotiklerinin doz aşımından kaynaklanan toksik belirtiler mide bulantısı, kusma, mide ekşimesi ve diyaredir.</w:t>
      </w:r>
    </w:p>
    <w:p w:rsidR="00AB7A26" w:rsidRPr="00400E89" w:rsidRDefault="00AB7A26"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t xml:space="preserve">5. </w:t>
      </w:r>
      <w:r w:rsidR="00E923A9" w:rsidRPr="00400E89">
        <w:rPr>
          <w:rFonts w:eastAsia="TimesNewRoman"/>
          <w:b/>
        </w:rPr>
        <w:tab/>
      </w:r>
      <w:r w:rsidRPr="00400E89">
        <w:rPr>
          <w:rFonts w:eastAsia="TimesNewRoman"/>
          <w:b/>
        </w:rPr>
        <w:t>FARMAKOLOJİK ÖZELLİKLER</w:t>
      </w:r>
    </w:p>
    <w:p w:rsidR="005F52C8" w:rsidRPr="00400E89" w:rsidRDefault="005F52C8" w:rsidP="005F52C8">
      <w:pPr>
        <w:spacing w:line="360" w:lineRule="auto"/>
        <w:jc w:val="both"/>
        <w:rPr>
          <w:rFonts w:eastAsia="TimesNewRoman"/>
          <w:b/>
        </w:rPr>
      </w:pPr>
      <w:r w:rsidRPr="00400E89">
        <w:rPr>
          <w:rFonts w:eastAsia="TimesNewRoman"/>
          <w:b/>
        </w:rPr>
        <w:t>5.1.</w:t>
      </w:r>
      <w:r w:rsidR="00E923A9" w:rsidRPr="00400E89">
        <w:rPr>
          <w:rFonts w:eastAsia="TimesNewRoman"/>
          <w:b/>
        </w:rPr>
        <w:tab/>
      </w:r>
      <w:r w:rsidRPr="00400E89">
        <w:rPr>
          <w:rFonts w:eastAsia="TimesNewRoman"/>
          <w:b/>
        </w:rPr>
        <w:t>Farmakodinamik özellikler</w:t>
      </w:r>
    </w:p>
    <w:p w:rsidR="00E923A9" w:rsidRPr="00400E89" w:rsidRDefault="005F52C8" w:rsidP="005F52C8">
      <w:pPr>
        <w:spacing w:line="360" w:lineRule="auto"/>
        <w:jc w:val="both"/>
        <w:rPr>
          <w:rFonts w:eastAsia="TimesNewRoman"/>
        </w:rPr>
      </w:pPr>
      <w:r w:rsidRPr="00400E89">
        <w:rPr>
          <w:rFonts w:eastAsia="TimesNewRoman"/>
        </w:rPr>
        <w:t xml:space="preserve">Farmakoterapötik grup: Sefpodoksim proksetil, 3. kuşak oral sefalosporin olan bir </w:t>
      </w:r>
      <w:r w:rsidR="00E923A9" w:rsidRPr="00400E89">
        <w:rPr>
          <w:rFonts w:eastAsia="TimesNewRoman"/>
        </w:rPr>
        <w:t>β</w:t>
      </w:r>
      <w:r w:rsidRPr="00400E89">
        <w:rPr>
          <w:rFonts w:eastAsia="TimesNewRoman"/>
        </w:rPr>
        <w:t xml:space="preserve">-laktam antibiyotiktir. Sefpodoksim proksetil, sefpodoksimin ön-ilacıdır. </w:t>
      </w:r>
    </w:p>
    <w:p w:rsidR="005F52C8" w:rsidRPr="00400E89" w:rsidRDefault="005F52C8" w:rsidP="005F52C8">
      <w:pPr>
        <w:spacing w:line="360" w:lineRule="auto"/>
        <w:jc w:val="both"/>
        <w:rPr>
          <w:rFonts w:eastAsia="TimesNewRoman"/>
        </w:rPr>
      </w:pPr>
      <w:r w:rsidRPr="00400E89">
        <w:rPr>
          <w:rFonts w:eastAsia="TimesNewRoman"/>
        </w:rPr>
        <w:t>ATC</w:t>
      </w:r>
      <w:r w:rsidR="00E923A9" w:rsidRPr="00400E89">
        <w:rPr>
          <w:rFonts w:eastAsia="TimesNewRoman"/>
        </w:rPr>
        <w:t xml:space="preserve"> </w:t>
      </w:r>
      <w:r w:rsidRPr="00400E89">
        <w:rPr>
          <w:rFonts w:eastAsia="TimesNewRoman"/>
        </w:rPr>
        <w:t>Kodu:</w:t>
      </w:r>
      <w:r w:rsidR="00E923A9" w:rsidRPr="00400E89">
        <w:rPr>
          <w:rFonts w:eastAsia="TimesNewRoman"/>
        </w:rPr>
        <w:t xml:space="preserve"> </w:t>
      </w:r>
      <w:r w:rsidRPr="00400E89">
        <w:rPr>
          <w:rFonts w:eastAsia="TimesNewRoman"/>
        </w:rPr>
        <w:t>J01DD13</w:t>
      </w:r>
    </w:p>
    <w:p w:rsidR="005F52C8" w:rsidRPr="00400E89" w:rsidRDefault="005F52C8" w:rsidP="005F52C8">
      <w:pPr>
        <w:spacing w:line="360" w:lineRule="auto"/>
        <w:jc w:val="both"/>
        <w:rPr>
          <w:rFonts w:eastAsia="TimesNewRoman"/>
        </w:rPr>
      </w:pPr>
      <w:r w:rsidRPr="00400E89">
        <w:rPr>
          <w:rFonts w:eastAsia="TimesNewRoman"/>
        </w:rPr>
        <w:t>Sefpodoksim proksetil, oral alımı takiben, gastro intestinal duvarda hızla, bakterisit bir antibiyotik olan sefpodoksime hidrolize olur ve gastro intestinal duvarda emilir. Sefpodoksim, sistemik olarak absorplanır.</w:t>
      </w:r>
    </w:p>
    <w:p w:rsidR="005F52C8" w:rsidRPr="00400E89" w:rsidRDefault="005F52C8" w:rsidP="005F52C8">
      <w:pPr>
        <w:spacing w:line="360" w:lineRule="auto"/>
        <w:jc w:val="both"/>
        <w:rPr>
          <w:rFonts w:eastAsia="TimesNewRoman"/>
          <w:i/>
        </w:rPr>
      </w:pPr>
      <w:r w:rsidRPr="00400E89">
        <w:rPr>
          <w:rFonts w:eastAsia="TimesNewRoman"/>
          <w:i/>
        </w:rPr>
        <w:t>Bakteriyoloji:</w:t>
      </w:r>
    </w:p>
    <w:p w:rsidR="005F52C8" w:rsidRPr="00400E89" w:rsidRDefault="005F52C8" w:rsidP="005F52C8">
      <w:pPr>
        <w:spacing w:line="360" w:lineRule="auto"/>
        <w:jc w:val="both"/>
        <w:rPr>
          <w:rFonts w:eastAsia="TimesNewRoman"/>
        </w:rPr>
      </w:pPr>
      <w:r w:rsidRPr="00400E89">
        <w:rPr>
          <w:rFonts w:eastAsia="TimesNewRoman"/>
        </w:rPr>
        <w:t>Sefpodoksimin etki mekanizması, bakteriyel hücre duvarı sentezinin inhibisyonuna</w:t>
      </w:r>
      <w:r w:rsidR="00E923A9" w:rsidRPr="00400E89">
        <w:rPr>
          <w:rFonts w:eastAsia="TimesNewRoman"/>
        </w:rPr>
        <w:t xml:space="preserve"> </w:t>
      </w:r>
      <w:r w:rsidRPr="00400E89">
        <w:rPr>
          <w:rFonts w:eastAsia="TimesNewRoman"/>
        </w:rPr>
        <w:t xml:space="preserve">dayanır. Çok sayıda beta-laktamaz enziminin varlığında </w:t>
      </w:r>
      <w:proofErr w:type="gramStart"/>
      <w:r w:rsidRPr="00400E89">
        <w:rPr>
          <w:rFonts w:eastAsia="TimesNewRoman"/>
        </w:rPr>
        <w:t>stabildir</w:t>
      </w:r>
      <w:proofErr w:type="gramEnd"/>
      <w:r w:rsidRPr="00400E89">
        <w:rPr>
          <w:rFonts w:eastAsia="TimesNewRoman"/>
        </w:rPr>
        <w:t>.</w:t>
      </w:r>
    </w:p>
    <w:p w:rsidR="005F52C8" w:rsidRPr="00400E89" w:rsidRDefault="005F52C8" w:rsidP="005F52C8">
      <w:pPr>
        <w:spacing w:line="360" w:lineRule="auto"/>
        <w:jc w:val="both"/>
        <w:rPr>
          <w:rFonts w:eastAsia="TimesNewRoman"/>
        </w:rPr>
      </w:pPr>
      <w:r w:rsidRPr="00400E89">
        <w:rPr>
          <w:rFonts w:eastAsia="TimesNewRoman"/>
        </w:rPr>
        <w:t xml:space="preserve">Sefpodoksimin geniş spektrumda Gram pozitif ve Gram negatif bakterilere karşı </w:t>
      </w:r>
      <w:r w:rsidRPr="00400E89">
        <w:rPr>
          <w:rFonts w:eastAsia="TimesNewRoman"/>
          <w:i/>
        </w:rPr>
        <w:t>in</w:t>
      </w:r>
      <w:r w:rsidR="00E923A9" w:rsidRPr="00400E89">
        <w:rPr>
          <w:rFonts w:eastAsia="TimesNewRoman"/>
          <w:i/>
        </w:rPr>
        <w:t xml:space="preserve"> </w:t>
      </w:r>
      <w:r w:rsidRPr="00400E89">
        <w:rPr>
          <w:rFonts w:eastAsia="TimesNewRoman"/>
          <w:i/>
        </w:rPr>
        <w:t>vitro</w:t>
      </w:r>
      <w:r w:rsidRPr="00400E89">
        <w:rPr>
          <w:rFonts w:eastAsia="TimesNewRoman"/>
        </w:rPr>
        <w:t xml:space="preserve"> bakterisit aktiviteye sahip olduğu görülmüştür.</w:t>
      </w:r>
    </w:p>
    <w:p w:rsidR="005F52C8" w:rsidRPr="00400E89" w:rsidRDefault="005F52C8" w:rsidP="005F52C8">
      <w:pPr>
        <w:spacing w:line="360" w:lineRule="auto"/>
        <w:jc w:val="both"/>
        <w:rPr>
          <w:rFonts w:eastAsia="TimesNewRoman"/>
        </w:rPr>
      </w:pPr>
      <w:r w:rsidRPr="00400E89">
        <w:rPr>
          <w:rFonts w:eastAsia="TimesNewRoman"/>
        </w:rPr>
        <w:t>Gram-pozitif organizmalara karşı oldukça etkilidir:</w:t>
      </w:r>
    </w:p>
    <w:p w:rsidR="005F52C8" w:rsidRPr="00400E89" w:rsidRDefault="005F52C8" w:rsidP="00E923A9">
      <w:pPr>
        <w:pStyle w:val="ListeParagraf"/>
        <w:numPr>
          <w:ilvl w:val="0"/>
          <w:numId w:val="15"/>
        </w:numPr>
        <w:spacing w:line="360" w:lineRule="auto"/>
        <w:jc w:val="both"/>
        <w:rPr>
          <w:rFonts w:eastAsia="TimesNewRoman"/>
          <w:i/>
        </w:rPr>
      </w:pPr>
      <w:r w:rsidRPr="00400E89">
        <w:rPr>
          <w:rFonts w:eastAsia="TimesNewRoman"/>
          <w:i/>
        </w:rPr>
        <w:t>Streptococcus pneumoniae,</w:t>
      </w:r>
    </w:p>
    <w:p w:rsidR="005F52C8" w:rsidRPr="00400E89" w:rsidRDefault="005F52C8" w:rsidP="00E923A9">
      <w:pPr>
        <w:pStyle w:val="ListeParagraf"/>
        <w:numPr>
          <w:ilvl w:val="0"/>
          <w:numId w:val="15"/>
        </w:numPr>
        <w:spacing w:line="360" w:lineRule="auto"/>
        <w:jc w:val="both"/>
        <w:rPr>
          <w:rFonts w:eastAsia="TimesNewRoman"/>
        </w:rPr>
      </w:pPr>
      <w:r w:rsidRPr="00400E89">
        <w:rPr>
          <w:rFonts w:eastAsia="TimesNewRoman"/>
        </w:rPr>
        <w:t xml:space="preserve">A grubu </w:t>
      </w:r>
      <w:r w:rsidRPr="00400E89">
        <w:rPr>
          <w:rFonts w:eastAsia="TimesNewRoman"/>
          <w:i/>
        </w:rPr>
        <w:t>(S. pyogenes),</w:t>
      </w:r>
      <w:r w:rsidRPr="00400E89">
        <w:rPr>
          <w:rFonts w:eastAsia="TimesNewRoman"/>
        </w:rPr>
        <w:t xml:space="preserve"> B grubu </w:t>
      </w:r>
      <w:r w:rsidRPr="00400E89">
        <w:rPr>
          <w:rFonts w:eastAsia="TimesNewRoman"/>
          <w:i/>
        </w:rPr>
        <w:t>(S. agalactiae),</w:t>
      </w:r>
      <w:r w:rsidRPr="00400E89">
        <w:rPr>
          <w:rFonts w:eastAsia="TimesNewRoman"/>
        </w:rPr>
        <w:t xml:space="preserve"> C, F ve G grubu streptokoklar.</w:t>
      </w:r>
    </w:p>
    <w:p w:rsidR="005F52C8" w:rsidRPr="00400E89" w:rsidRDefault="005F52C8" w:rsidP="00E923A9">
      <w:pPr>
        <w:pStyle w:val="ListeParagraf"/>
        <w:numPr>
          <w:ilvl w:val="0"/>
          <w:numId w:val="15"/>
        </w:numPr>
        <w:spacing w:line="360" w:lineRule="auto"/>
        <w:jc w:val="both"/>
        <w:rPr>
          <w:rFonts w:eastAsia="TimesNewRoman"/>
        </w:rPr>
      </w:pPr>
      <w:r w:rsidRPr="00400E89">
        <w:rPr>
          <w:rFonts w:eastAsia="TimesNewRoman"/>
        </w:rPr>
        <w:t>Diğer streptokoklar (</w:t>
      </w:r>
      <w:r w:rsidRPr="00400E89">
        <w:rPr>
          <w:rFonts w:eastAsia="TimesNewRoman"/>
          <w:i/>
        </w:rPr>
        <w:t>S. mitis, S. sanguis ve S.salivarius</w:t>
      </w:r>
      <w:r w:rsidRPr="00400E89">
        <w:rPr>
          <w:rFonts w:eastAsia="TimesNewRoman"/>
        </w:rPr>
        <w:t>),</w:t>
      </w:r>
    </w:p>
    <w:p w:rsidR="005F52C8" w:rsidRPr="00400E89" w:rsidRDefault="005F52C8" w:rsidP="00E923A9">
      <w:pPr>
        <w:pStyle w:val="ListeParagraf"/>
        <w:numPr>
          <w:ilvl w:val="0"/>
          <w:numId w:val="15"/>
        </w:numPr>
        <w:spacing w:line="360" w:lineRule="auto"/>
        <w:jc w:val="both"/>
        <w:rPr>
          <w:rFonts w:eastAsia="TimesNewRoman"/>
          <w:i/>
        </w:rPr>
      </w:pPr>
      <w:r w:rsidRPr="00400E89">
        <w:rPr>
          <w:rFonts w:eastAsia="TimesNewRoman"/>
          <w:i/>
        </w:rPr>
        <w:t>Propionibacterium acnes</w:t>
      </w:r>
    </w:p>
    <w:p w:rsidR="00E923A9" w:rsidRPr="00400E89" w:rsidRDefault="005F52C8" w:rsidP="00E923A9">
      <w:pPr>
        <w:pStyle w:val="ListeParagraf"/>
        <w:numPr>
          <w:ilvl w:val="0"/>
          <w:numId w:val="15"/>
        </w:numPr>
        <w:spacing w:line="360" w:lineRule="auto"/>
        <w:jc w:val="both"/>
        <w:rPr>
          <w:rFonts w:eastAsia="TimesNewRoman"/>
          <w:i/>
        </w:rPr>
      </w:pPr>
      <w:r w:rsidRPr="00400E89">
        <w:rPr>
          <w:rFonts w:eastAsia="TimesNewRoman"/>
          <w:i/>
        </w:rPr>
        <w:t xml:space="preserve">Corynebacterium diphteriae, </w:t>
      </w:r>
    </w:p>
    <w:p w:rsidR="005F52C8" w:rsidRPr="00400E89" w:rsidRDefault="005F52C8" w:rsidP="005F52C8">
      <w:pPr>
        <w:spacing w:line="360" w:lineRule="auto"/>
        <w:jc w:val="both"/>
        <w:rPr>
          <w:rFonts w:eastAsia="TimesNewRoman"/>
        </w:rPr>
      </w:pPr>
      <w:r w:rsidRPr="00400E89">
        <w:rPr>
          <w:rFonts w:eastAsia="TimesNewRoman"/>
        </w:rPr>
        <w:t>Gram-negatif organizmalara karşı oldukça etkilidir:</w:t>
      </w:r>
    </w:p>
    <w:p w:rsidR="005F52C8" w:rsidRPr="00400E89" w:rsidRDefault="005F52C8" w:rsidP="00E923A9">
      <w:pPr>
        <w:pStyle w:val="ListeParagraf"/>
        <w:numPr>
          <w:ilvl w:val="0"/>
          <w:numId w:val="16"/>
        </w:numPr>
        <w:spacing w:line="360" w:lineRule="auto"/>
        <w:jc w:val="both"/>
        <w:rPr>
          <w:rFonts w:eastAsia="TimesNewRoman"/>
        </w:rPr>
      </w:pPr>
      <w:r w:rsidRPr="00400E89">
        <w:rPr>
          <w:rFonts w:eastAsia="TimesNewRoman"/>
          <w:i/>
        </w:rPr>
        <w:t>Haemoph</w:t>
      </w:r>
      <w:r w:rsidR="00E923A9" w:rsidRPr="00400E89">
        <w:rPr>
          <w:rFonts w:eastAsia="TimesNewRoman"/>
          <w:i/>
        </w:rPr>
        <w:t>il</w:t>
      </w:r>
      <w:r w:rsidRPr="00400E89">
        <w:rPr>
          <w:rFonts w:eastAsia="TimesNewRoman"/>
          <w:i/>
        </w:rPr>
        <w:t>us influenzae</w:t>
      </w:r>
      <w:r w:rsidRPr="00400E89">
        <w:rPr>
          <w:rFonts w:eastAsia="TimesNewRoman"/>
        </w:rPr>
        <w:t xml:space="preserve"> (beta-laktamaz ve non beta-laktamaz üreten suşlar),</w:t>
      </w:r>
    </w:p>
    <w:p w:rsidR="005F52C8" w:rsidRPr="00400E89" w:rsidRDefault="005F52C8" w:rsidP="00E923A9">
      <w:pPr>
        <w:pStyle w:val="ListeParagraf"/>
        <w:numPr>
          <w:ilvl w:val="0"/>
          <w:numId w:val="16"/>
        </w:numPr>
        <w:spacing w:line="360" w:lineRule="auto"/>
        <w:jc w:val="both"/>
        <w:rPr>
          <w:rFonts w:eastAsia="TimesNewRoman"/>
        </w:rPr>
      </w:pPr>
      <w:r w:rsidRPr="00400E89">
        <w:rPr>
          <w:rFonts w:eastAsia="TimesNewRoman"/>
          <w:i/>
        </w:rPr>
        <w:t>Haemoph</w:t>
      </w:r>
      <w:r w:rsidR="00E923A9" w:rsidRPr="00400E89">
        <w:rPr>
          <w:rFonts w:eastAsia="TimesNewRoman"/>
          <w:i/>
        </w:rPr>
        <w:t>il</w:t>
      </w:r>
      <w:r w:rsidRPr="00400E89">
        <w:rPr>
          <w:rFonts w:eastAsia="TimesNewRoman"/>
          <w:i/>
        </w:rPr>
        <w:t>us para-influenzae</w:t>
      </w:r>
      <w:r w:rsidRPr="00400E89">
        <w:rPr>
          <w:rFonts w:eastAsia="TimesNewRoman"/>
        </w:rPr>
        <w:t xml:space="preserve"> (beta-laktamaz ve non beta-laktamaz üreten suşlar),</w:t>
      </w:r>
    </w:p>
    <w:p w:rsidR="005F52C8" w:rsidRPr="00400E89" w:rsidRDefault="001A79B6" w:rsidP="00E923A9">
      <w:pPr>
        <w:pStyle w:val="ListeParagraf"/>
        <w:numPr>
          <w:ilvl w:val="0"/>
          <w:numId w:val="16"/>
        </w:numPr>
        <w:spacing w:line="360" w:lineRule="auto"/>
        <w:jc w:val="both"/>
        <w:rPr>
          <w:rFonts w:eastAsia="TimesNewRoman"/>
        </w:rPr>
      </w:pPr>
      <w:r w:rsidRPr="00400E89">
        <w:rPr>
          <w:rFonts w:eastAsia="TimesNewRoman"/>
          <w:i/>
        </w:rPr>
        <w:t>Moraxella</w:t>
      </w:r>
      <w:r w:rsidR="005F52C8" w:rsidRPr="00400E89">
        <w:rPr>
          <w:rFonts w:eastAsia="TimesNewRoman"/>
          <w:i/>
        </w:rPr>
        <w:t xml:space="preserve"> catarrhalis</w:t>
      </w:r>
      <w:r w:rsidR="005F52C8" w:rsidRPr="00400E89">
        <w:rPr>
          <w:rFonts w:eastAsia="TimesNewRoman"/>
        </w:rPr>
        <w:t xml:space="preserve"> (beta-laktamaz ve non beta-laktamaz üreten suşlar),</w:t>
      </w:r>
    </w:p>
    <w:p w:rsidR="005F52C8" w:rsidRPr="00400E89" w:rsidRDefault="005F52C8" w:rsidP="00E923A9">
      <w:pPr>
        <w:pStyle w:val="ListeParagraf"/>
        <w:numPr>
          <w:ilvl w:val="0"/>
          <w:numId w:val="16"/>
        </w:numPr>
        <w:spacing w:line="360" w:lineRule="auto"/>
        <w:jc w:val="both"/>
        <w:rPr>
          <w:rFonts w:eastAsia="TimesNewRoman"/>
          <w:i/>
        </w:rPr>
      </w:pPr>
      <w:r w:rsidRPr="00400E89">
        <w:rPr>
          <w:rFonts w:eastAsia="TimesNewRoman"/>
          <w:i/>
        </w:rPr>
        <w:t>Neisseria meningitidis,</w:t>
      </w:r>
    </w:p>
    <w:p w:rsidR="005F52C8" w:rsidRPr="00400E89" w:rsidRDefault="005F52C8" w:rsidP="00E923A9">
      <w:pPr>
        <w:pStyle w:val="ListeParagraf"/>
        <w:numPr>
          <w:ilvl w:val="0"/>
          <w:numId w:val="16"/>
        </w:numPr>
        <w:spacing w:line="360" w:lineRule="auto"/>
        <w:jc w:val="both"/>
        <w:rPr>
          <w:rFonts w:eastAsia="TimesNewRoman"/>
          <w:i/>
        </w:rPr>
      </w:pPr>
      <w:r w:rsidRPr="00400E89">
        <w:rPr>
          <w:rFonts w:eastAsia="TimesNewRoman"/>
          <w:i/>
        </w:rPr>
        <w:lastRenderedPageBreak/>
        <w:t>Neisseria gonorrhoeae,</w:t>
      </w:r>
    </w:p>
    <w:p w:rsidR="005F52C8" w:rsidRPr="00400E89" w:rsidRDefault="005F52C8" w:rsidP="00E923A9">
      <w:pPr>
        <w:pStyle w:val="ListeParagraf"/>
        <w:numPr>
          <w:ilvl w:val="0"/>
          <w:numId w:val="16"/>
        </w:numPr>
        <w:spacing w:line="360" w:lineRule="auto"/>
        <w:jc w:val="both"/>
        <w:rPr>
          <w:rFonts w:eastAsia="TimesNewRoman"/>
          <w:i/>
        </w:rPr>
      </w:pPr>
      <w:r w:rsidRPr="00400E89">
        <w:rPr>
          <w:rFonts w:eastAsia="TimesNewRoman"/>
          <w:i/>
        </w:rPr>
        <w:t>Escherichia coli,</w:t>
      </w:r>
    </w:p>
    <w:p w:rsidR="005F52C8" w:rsidRPr="00400E89" w:rsidRDefault="005F52C8" w:rsidP="00E923A9">
      <w:pPr>
        <w:pStyle w:val="ListeParagraf"/>
        <w:numPr>
          <w:ilvl w:val="0"/>
          <w:numId w:val="16"/>
        </w:numPr>
        <w:spacing w:line="360" w:lineRule="auto"/>
        <w:jc w:val="both"/>
        <w:rPr>
          <w:rFonts w:eastAsia="TimesNewRoman"/>
        </w:rPr>
      </w:pPr>
      <w:r w:rsidRPr="00400E89">
        <w:rPr>
          <w:rFonts w:eastAsia="TimesNewRoman"/>
          <w:i/>
        </w:rPr>
        <w:t>Klebsiella</w:t>
      </w:r>
      <w:r w:rsidRPr="00400E89">
        <w:rPr>
          <w:rFonts w:eastAsia="TimesNewRoman"/>
        </w:rPr>
        <w:t xml:space="preserve"> türleri (</w:t>
      </w:r>
      <w:r w:rsidRPr="00400E89">
        <w:rPr>
          <w:rFonts w:eastAsia="TimesNewRoman"/>
          <w:i/>
        </w:rPr>
        <w:t>K. pneumoniae; K. oxytoca</w:t>
      </w:r>
      <w:r w:rsidRPr="00400E89">
        <w:rPr>
          <w:rFonts w:eastAsia="TimesNewRoman"/>
        </w:rPr>
        <w:t>),</w:t>
      </w:r>
    </w:p>
    <w:p w:rsidR="005F52C8" w:rsidRPr="00400E89" w:rsidRDefault="005F52C8" w:rsidP="00E923A9">
      <w:pPr>
        <w:pStyle w:val="ListeParagraf"/>
        <w:numPr>
          <w:ilvl w:val="0"/>
          <w:numId w:val="16"/>
        </w:numPr>
        <w:spacing w:line="360" w:lineRule="auto"/>
        <w:jc w:val="both"/>
        <w:rPr>
          <w:rFonts w:eastAsia="TimesNewRoman"/>
          <w:i/>
        </w:rPr>
      </w:pPr>
      <w:r w:rsidRPr="00400E89">
        <w:rPr>
          <w:rFonts w:eastAsia="TimesNewRoman"/>
          <w:i/>
        </w:rPr>
        <w:t>Proteus mirabilis.</w:t>
      </w:r>
    </w:p>
    <w:p w:rsidR="005F52C8" w:rsidRPr="00400E89" w:rsidRDefault="005F52C8" w:rsidP="005F52C8">
      <w:pPr>
        <w:spacing w:line="360" w:lineRule="auto"/>
        <w:jc w:val="both"/>
        <w:rPr>
          <w:rFonts w:eastAsia="TimesNewRoman"/>
        </w:rPr>
      </w:pPr>
      <w:proofErr w:type="spellStart"/>
      <w:r w:rsidRPr="00400E89">
        <w:rPr>
          <w:rFonts w:eastAsia="TimesNewRoman"/>
        </w:rPr>
        <w:t>Metisiline</w:t>
      </w:r>
      <w:proofErr w:type="spellEnd"/>
      <w:r w:rsidRPr="00400E89">
        <w:rPr>
          <w:rFonts w:eastAsia="TimesNewRoman"/>
        </w:rPr>
        <w:t xml:space="preserve"> duyarlı stafilokoklar, </w:t>
      </w:r>
      <w:proofErr w:type="spellStart"/>
      <w:r w:rsidRPr="00400E89">
        <w:rPr>
          <w:rFonts w:eastAsia="TimesNewRoman"/>
        </w:rPr>
        <w:t>penisilinaz</w:t>
      </w:r>
      <w:proofErr w:type="spellEnd"/>
      <w:r w:rsidRPr="00400E89">
        <w:rPr>
          <w:rFonts w:eastAsia="TimesNewRoman"/>
        </w:rPr>
        <w:t xml:space="preserve"> ve non-penisilinaz üreten suşlara (</w:t>
      </w:r>
      <w:r w:rsidRPr="00400E89">
        <w:rPr>
          <w:rFonts w:eastAsia="TimesNewRoman"/>
          <w:i/>
        </w:rPr>
        <w:t>S. aureus ve S. epidermidis</w:t>
      </w:r>
      <w:r w:rsidRPr="00400E89">
        <w:rPr>
          <w:rFonts w:eastAsia="TimesNewRoman"/>
        </w:rPr>
        <w:t>) karşı ılımlı olarak etkilidir.</w:t>
      </w:r>
    </w:p>
    <w:p w:rsidR="00653D6D" w:rsidRPr="00400E89" w:rsidRDefault="005F52C8" w:rsidP="005F52C8">
      <w:pPr>
        <w:spacing w:line="360" w:lineRule="auto"/>
        <w:jc w:val="both"/>
        <w:rPr>
          <w:rFonts w:eastAsia="TimesNewRoman"/>
        </w:rPr>
      </w:pPr>
      <w:r w:rsidRPr="00400E89">
        <w:rPr>
          <w:rFonts w:eastAsia="TimesNewRoman"/>
        </w:rPr>
        <w:t xml:space="preserve">Ayrıca, çoğu sefalosporinlerde olduğu gibi, aşağıda belirtilen organizmalar, sefpodoksime dirençlidir: </w:t>
      </w:r>
      <w:r w:rsidRPr="00400E89">
        <w:rPr>
          <w:rFonts w:eastAsia="TimesNewRoman"/>
          <w:i/>
        </w:rPr>
        <w:t>enterococci</w:t>
      </w:r>
      <w:r w:rsidRPr="00400E89">
        <w:rPr>
          <w:rFonts w:eastAsia="TimesNewRoman"/>
        </w:rPr>
        <w:t>, metisiline dirençli stafilokoklar (</w:t>
      </w:r>
      <w:r w:rsidRPr="00400E89">
        <w:rPr>
          <w:rFonts w:eastAsia="TimesNewRoman"/>
          <w:i/>
        </w:rPr>
        <w:t xml:space="preserve">S. aureus ve S. </w:t>
      </w:r>
      <w:r w:rsidR="00BA1510" w:rsidRPr="00400E89">
        <w:rPr>
          <w:rFonts w:eastAsia="TimesNewRoman"/>
          <w:i/>
        </w:rPr>
        <w:t>epidermidis</w:t>
      </w:r>
      <w:r w:rsidRPr="00400E89">
        <w:rPr>
          <w:rFonts w:eastAsia="TimesNewRoman"/>
        </w:rPr>
        <w:t xml:space="preserve">), </w:t>
      </w:r>
      <w:r w:rsidRPr="00400E89">
        <w:rPr>
          <w:rFonts w:eastAsia="TimesNewRoman"/>
          <w:i/>
        </w:rPr>
        <w:t xml:space="preserve">Staphylococcus saphrophyticus, Pseudomonas aeruginosa ve Pseudomonas türleri, Clostridium </w:t>
      </w:r>
      <w:r w:rsidR="001A79B6" w:rsidRPr="00400E89">
        <w:rPr>
          <w:rFonts w:eastAsia="TimesNewRoman"/>
          <w:i/>
        </w:rPr>
        <w:t xml:space="preserve">difficile, </w:t>
      </w:r>
      <w:r w:rsidRPr="00400E89">
        <w:rPr>
          <w:rFonts w:eastAsia="TimesNewRoman"/>
          <w:i/>
        </w:rPr>
        <w:t>Bacteroides fragilis</w:t>
      </w:r>
      <w:r w:rsidRPr="00400E89">
        <w:rPr>
          <w:rFonts w:eastAsia="TimesNewRoman"/>
        </w:rPr>
        <w:t xml:space="preserve"> ve ilgili türleri. </w:t>
      </w:r>
    </w:p>
    <w:p w:rsidR="005F52C8" w:rsidRPr="00400E89" w:rsidRDefault="005F52C8" w:rsidP="005F52C8">
      <w:pPr>
        <w:spacing w:line="360" w:lineRule="auto"/>
        <w:jc w:val="both"/>
        <w:rPr>
          <w:rFonts w:eastAsia="TimesNewRoman"/>
        </w:rPr>
      </w:pPr>
      <w:r w:rsidRPr="00400E89">
        <w:rPr>
          <w:rFonts w:eastAsia="TimesNewRoman"/>
        </w:rPr>
        <w:t>Tüm antibiyotiklerde olduğu gibi, mümkün olan her zaman, duyarlılık in vitro testlerle konfirme edilmelidir.</w:t>
      </w:r>
    </w:p>
    <w:p w:rsidR="00E923A9" w:rsidRPr="00400E89" w:rsidRDefault="00E923A9" w:rsidP="00AB7A26">
      <w:pPr>
        <w:jc w:val="both"/>
        <w:rPr>
          <w:rFonts w:eastAsia="TimesNewRoman"/>
        </w:rPr>
      </w:pPr>
    </w:p>
    <w:p w:rsidR="00E923A9" w:rsidRPr="00400E89" w:rsidRDefault="005F52C8" w:rsidP="005F52C8">
      <w:pPr>
        <w:spacing w:line="360" w:lineRule="auto"/>
        <w:jc w:val="both"/>
        <w:rPr>
          <w:rFonts w:eastAsia="TimesNewRoman"/>
          <w:b/>
        </w:rPr>
      </w:pPr>
      <w:r w:rsidRPr="00400E89">
        <w:rPr>
          <w:rFonts w:eastAsia="TimesNewRoman"/>
          <w:b/>
        </w:rPr>
        <w:t>5.2.</w:t>
      </w:r>
      <w:r w:rsidR="00E923A9" w:rsidRPr="00400E89">
        <w:rPr>
          <w:rFonts w:eastAsia="TimesNewRoman"/>
          <w:b/>
        </w:rPr>
        <w:tab/>
      </w:r>
      <w:r w:rsidRPr="00400E89">
        <w:rPr>
          <w:rFonts w:eastAsia="TimesNewRoman"/>
          <w:b/>
        </w:rPr>
        <w:t xml:space="preserve">Farmakokinetik özellikler </w:t>
      </w:r>
    </w:p>
    <w:p w:rsidR="005F52C8" w:rsidRPr="00400E89" w:rsidRDefault="005F52C8" w:rsidP="005F52C8">
      <w:pPr>
        <w:spacing w:line="360" w:lineRule="auto"/>
        <w:jc w:val="both"/>
        <w:rPr>
          <w:rFonts w:eastAsia="TimesNewRoman"/>
          <w:b/>
        </w:rPr>
      </w:pPr>
      <w:r w:rsidRPr="00400E89">
        <w:rPr>
          <w:rFonts w:eastAsia="TimesNewRoman"/>
          <w:b/>
        </w:rPr>
        <w:t>Genel özellikler</w:t>
      </w:r>
    </w:p>
    <w:p w:rsidR="005F52C8" w:rsidRPr="00400E89" w:rsidRDefault="005F52C8" w:rsidP="005F52C8">
      <w:pPr>
        <w:spacing w:line="360" w:lineRule="auto"/>
        <w:jc w:val="both"/>
        <w:rPr>
          <w:rFonts w:eastAsia="TimesNewRoman"/>
          <w:u w:val="single"/>
        </w:rPr>
      </w:pPr>
      <w:r w:rsidRPr="00400E89">
        <w:rPr>
          <w:rFonts w:eastAsia="TimesNewRoman"/>
          <w:u w:val="single"/>
        </w:rPr>
        <w:t>Emilim:</w:t>
      </w:r>
    </w:p>
    <w:p w:rsidR="005F52C8" w:rsidRPr="00400E89" w:rsidRDefault="005F52C8" w:rsidP="005F52C8">
      <w:pPr>
        <w:spacing w:line="360" w:lineRule="auto"/>
        <w:jc w:val="both"/>
        <w:rPr>
          <w:rFonts w:eastAsia="TimesNewRoman"/>
        </w:rPr>
      </w:pPr>
      <w:r w:rsidRPr="00400E89">
        <w:rPr>
          <w:rFonts w:eastAsia="TimesNewRoman"/>
        </w:rPr>
        <w:t xml:space="preserve">Sefpodoksim proksetil, bağırsaklarda aktif metaboliti sefpodoksime hidrolize olur ve emilir. Biyoyararlanımı %50'dir ve yemekle beraber alındığında bu değer artabilir. Dağılım hacmi </w:t>
      </w:r>
      <w:proofErr w:type="gramStart"/>
      <w:r w:rsidRPr="00400E89">
        <w:rPr>
          <w:rFonts w:eastAsia="TimesNewRoman"/>
        </w:rPr>
        <w:t>32.3</w:t>
      </w:r>
      <w:proofErr w:type="gramEnd"/>
      <w:r w:rsidRPr="00400E89">
        <w:rPr>
          <w:rFonts w:eastAsia="TimesNewRoman"/>
        </w:rPr>
        <w:t xml:space="preserve"> L'dir ve sefpodoksimin doruk seviyesi, dozlamadan 2-3 saat sonra oluşur. 100 ve 200 mg dozlardan sonra maksimum plazma konsantrasyonları sırasıyla, </w:t>
      </w:r>
      <w:proofErr w:type="gramStart"/>
      <w:r w:rsidRPr="00400E89">
        <w:rPr>
          <w:rFonts w:eastAsia="TimesNewRoman"/>
        </w:rPr>
        <w:t>1.2</w:t>
      </w:r>
      <w:proofErr w:type="gramEnd"/>
      <w:r w:rsidRPr="00400E89">
        <w:rPr>
          <w:rFonts w:eastAsia="TimesNewRoman"/>
        </w:rPr>
        <w:t xml:space="preserve"> mg/L ve 2.5 mg/L'dir. Günde iki kez 100 mg ve 200 mg dozların verilmesini takiben </w:t>
      </w:r>
      <w:proofErr w:type="gramStart"/>
      <w:r w:rsidRPr="00400E89">
        <w:rPr>
          <w:rFonts w:eastAsia="TimesNewRoman"/>
        </w:rPr>
        <w:t>14.5</w:t>
      </w:r>
      <w:proofErr w:type="gramEnd"/>
      <w:r w:rsidRPr="00400E89">
        <w:rPr>
          <w:rFonts w:eastAsia="TimesNewRoman"/>
        </w:rPr>
        <w:t xml:space="preserve"> günden sonra, sefpodoksimin plazma farmakokinetik parametreleri değişmeden kalır.</w:t>
      </w:r>
    </w:p>
    <w:p w:rsidR="005F52C8" w:rsidRPr="00400E89" w:rsidRDefault="005F52C8" w:rsidP="005F52C8">
      <w:pPr>
        <w:spacing w:line="360" w:lineRule="auto"/>
        <w:jc w:val="both"/>
        <w:rPr>
          <w:rFonts w:eastAsia="TimesNewRoman"/>
          <w:u w:val="single"/>
        </w:rPr>
      </w:pPr>
      <w:r w:rsidRPr="00400E89">
        <w:rPr>
          <w:rFonts w:eastAsia="TimesNewRoman"/>
          <w:u w:val="single"/>
        </w:rPr>
        <w:t>Dağılım:</w:t>
      </w:r>
    </w:p>
    <w:p w:rsidR="005F52C8" w:rsidRPr="00400E89" w:rsidRDefault="005F52C8" w:rsidP="005F52C8">
      <w:pPr>
        <w:spacing w:line="360" w:lineRule="auto"/>
        <w:jc w:val="both"/>
        <w:rPr>
          <w:rFonts w:eastAsia="TimesNewRoman"/>
        </w:rPr>
      </w:pPr>
      <w:r w:rsidRPr="00400E89">
        <w:rPr>
          <w:rFonts w:eastAsia="TimesNewRoman"/>
        </w:rPr>
        <w:t>Sefpodoksimin serum proteinlerine - özellikle albumine - bağlanma oranı %40'tır. Bu</w:t>
      </w:r>
      <w:r w:rsidR="00E923A9" w:rsidRPr="00400E89">
        <w:rPr>
          <w:rFonts w:eastAsia="TimesNewRoman"/>
        </w:rPr>
        <w:t xml:space="preserve"> </w:t>
      </w:r>
      <w:r w:rsidRPr="00400E89">
        <w:rPr>
          <w:rFonts w:eastAsia="TimesNewRoman"/>
        </w:rPr>
        <w:t>bağlanma doygunluğa ulaşmayan tiptedir.</w:t>
      </w:r>
    </w:p>
    <w:p w:rsidR="005F52C8" w:rsidRPr="00400E89" w:rsidRDefault="005F52C8" w:rsidP="005F52C8">
      <w:pPr>
        <w:spacing w:line="360" w:lineRule="auto"/>
        <w:jc w:val="both"/>
        <w:rPr>
          <w:rFonts w:eastAsia="TimesNewRoman"/>
        </w:rPr>
      </w:pPr>
      <w:r w:rsidRPr="00400E89">
        <w:rPr>
          <w:rFonts w:eastAsia="TimesNewRoman"/>
        </w:rPr>
        <w:t>Yaygın patojenler için minumum inhibisyon seviyelerini (MIC) aşan sefpodoksim</w:t>
      </w:r>
      <w:r w:rsidR="00E923A9" w:rsidRPr="00400E89">
        <w:rPr>
          <w:rFonts w:eastAsia="TimesNewRoman"/>
        </w:rPr>
        <w:t xml:space="preserve"> </w:t>
      </w:r>
      <w:proofErr w:type="gramStart"/>
      <w:r w:rsidRPr="00400E89">
        <w:rPr>
          <w:rFonts w:eastAsia="TimesNewRoman"/>
        </w:rPr>
        <w:t>konsantrasyonlarına</w:t>
      </w:r>
      <w:proofErr w:type="gramEnd"/>
      <w:r w:rsidRPr="00400E89">
        <w:rPr>
          <w:rFonts w:eastAsia="TimesNewRoman"/>
        </w:rPr>
        <w:t>; akciğer parankiması, bronşiyal mukoza, plevral sıvı, tonsiller,</w:t>
      </w:r>
      <w:r w:rsidR="00E923A9" w:rsidRPr="00400E89">
        <w:rPr>
          <w:rFonts w:eastAsia="TimesNewRoman"/>
        </w:rPr>
        <w:t xml:space="preserve"> </w:t>
      </w:r>
      <w:r w:rsidRPr="00400E89">
        <w:rPr>
          <w:rFonts w:eastAsia="TimesNewRoman"/>
        </w:rPr>
        <w:t>interstisyel sıvı ve prostat dokularında rastlanır.</w:t>
      </w:r>
    </w:p>
    <w:p w:rsidR="005F52C8" w:rsidRPr="00400E89" w:rsidRDefault="005F52C8" w:rsidP="005F52C8">
      <w:pPr>
        <w:spacing w:line="360" w:lineRule="auto"/>
        <w:jc w:val="both"/>
        <w:rPr>
          <w:rFonts w:eastAsia="TimesNewRoman"/>
        </w:rPr>
      </w:pPr>
      <w:r w:rsidRPr="00400E89">
        <w:rPr>
          <w:rFonts w:eastAsia="TimesNewRoman"/>
        </w:rPr>
        <w:t xml:space="preserve">Sefpodoksim majör olarak idrardan elimine olduğu için, </w:t>
      </w:r>
      <w:proofErr w:type="gramStart"/>
      <w:r w:rsidRPr="00400E89">
        <w:rPr>
          <w:rFonts w:eastAsia="TimesNewRoman"/>
        </w:rPr>
        <w:t>konsantrasyonu</w:t>
      </w:r>
      <w:proofErr w:type="gramEnd"/>
      <w:r w:rsidRPr="00400E89">
        <w:rPr>
          <w:rFonts w:eastAsia="TimesNewRoman"/>
        </w:rPr>
        <w:t xml:space="preserve"> yüksektir</w:t>
      </w:r>
      <w:r w:rsidR="00E923A9" w:rsidRPr="00400E89">
        <w:rPr>
          <w:rFonts w:eastAsia="TimesNewRoman"/>
        </w:rPr>
        <w:t xml:space="preserve"> </w:t>
      </w:r>
      <w:r w:rsidR="00AF6A07" w:rsidRPr="00400E89">
        <w:rPr>
          <w:rFonts w:eastAsia="TimesNewRoman"/>
        </w:rPr>
        <w:t>(Yaygın üriner patojenlerin MIC</w:t>
      </w:r>
      <w:r w:rsidR="00AF6A07" w:rsidRPr="00400E89">
        <w:rPr>
          <w:rFonts w:eastAsia="TimesNewRoman"/>
          <w:vertAlign w:val="subscript"/>
        </w:rPr>
        <w:t>90</w:t>
      </w:r>
      <w:r w:rsidRPr="00400E89">
        <w:rPr>
          <w:rFonts w:eastAsia="TimesNewRoman"/>
        </w:rPr>
        <w:t>'ı aşan tek bir dozu sonrası 0-4, 4-8, 8-12 saatlik</w:t>
      </w:r>
      <w:r w:rsidR="00E923A9" w:rsidRPr="00400E89">
        <w:rPr>
          <w:rFonts w:eastAsia="TimesNewRoman"/>
        </w:rPr>
        <w:t xml:space="preserve"> </w:t>
      </w:r>
      <w:r w:rsidRPr="00400E89">
        <w:rPr>
          <w:rFonts w:eastAsia="TimesNewRoman"/>
        </w:rPr>
        <w:t xml:space="preserve">fraksiyonlardaki konsantrasyonlar). Yaygın üriner patojenlerin </w:t>
      </w:r>
      <w:r w:rsidR="00AF6A07" w:rsidRPr="00400E89">
        <w:rPr>
          <w:rFonts w:eastAsia="TimesNewRoman"/>
        </w:rPr>
        <w:t>MIC</w:t>
      </w:r>
      <w:r w:rsidR="00AF6A07" w:rsidRPr="00400E89">
        <w:rPr>
          <w:rFonts w:eastAsia="TimesNewRoman"/>
          <w:vertAlign w:val="subscript"/>
        </w:rPr>
        <w:t>90</w:t>
      </w:r>
      <w:r w:rsidR="00AF6A07" w:rsidRPr="00400E89">
        <w:rPr>
          <w:rFonts w:eastAsia="TimesNewRoman"/>
        </w:rPr>
        <w:t>'ı</w:t>
      </w:r>
      <w:r w:rsidRPr="00400E89">
        <w:rPr>
          <w:rFonts w:eastAsia="TimesNewRoman"/>
        </w:rPr>
        <w:t xml:space="preserve"> üzerindeki</w:t>
      </w:r>
      <w:r w:rsidR="00E923A9" w:rsidRPr="00400E89">
        <w:rPr>
          <w:rFonts w:eastAsia="TimesNewRoman"/>
        </w:rPr>
        <w:t xml:space="preserve"> </w:t>
      </w:r>
      <w:r w:rsidRPr="00400E89">
        <w:rPr>
          <w:rFonts w:eastAsia="TimesNewRoman"/>
        </w:rPr>
        <w:t>konsantrasyonlarda, 200 mg'lık (</w:t>
      </w:r>
      <w:proofErr w:type="gramStart"/>
      <w:r w:rsidRPr="00400E89">
        <w:rPr>
          <w:rFonts w:eastAsia="TimesNewRoman"/>
        </w:rPr>
        <w:t>1.6</w:t>
      </w:r>
      <w:proofErr w:type="gramEnd"/>
      <w:r w:rsidRPr="00400E89">
        <w:rPr>
          <w:rFonts w:eastAsia="TimesNewRoman"/>
        </w:rPr>
        <w:t xml:space="preserve">-3.1 </w:t>
      </w:r>
      <w:r w:rsidR="00AF6A07" w:rsidRPr="00400E89">
        <w:rPr>
          <w:rFonts w:eastAsia="TimesNewRoman"/>
        </w:rPr>
        <w:t>µ</w:t>
      </w:r>
      <w:r w:rsidRPr="00400E89">
        <w:rPr>
          <w:rFonts w:eastAsia="TimesNewRoman"/>
        </w:rPr>
        <w:t>g/g) tek bir dozun verilişinden sonra, renal</w:t>
      </w:r>
      <w:r w:rsidR="00E923A9" w:rsidRPr="00400E89">
        <w:rPr>
          <w:rFonts w:eastAsia="TimesNewRoman"/>
        </w:rPr>
        <w:t xml:space="preserve"> </w:t>
      </w:r>
      <w:r w:rsidRPr="00400E89">
        <w:rPr>
          <w:rFonts w:eastAsia="TimesNewRoman"/>
        </w:rPr>
        <w:t>dokularda da sefpodoksimin, 3-12 saatlerinde iyi bir dif</w:t>
      </w:r>
      <w:r w:rsidR="00AF6A07" w:rsidRPr="00400E89">
        <w:rPr>
          <w:rFonts w:eastAsia="TimesNewRoman"/>
        </w:rPr>
        <w:t>ü</w:t>
      </w:r>
      <w:r w:rsidRPr="00400E89">
        <w:rPr>
          <w:rFonts w:eastAsia="TimesNewRoman"/>
        </w:rPr>
        <w:t>zyonu görülür.</w:t>
      </w:r>
    </w:p>
    <w:p w:rsidR="005F52C8" w:rsidRPr="00400E89" w:rsidRDefault="005F52C8" w:rsidP="005F52C8">
      <w:pPr>
        <w:spacing w:line="360" w:lineRule="auto"/>
        <w:jc w:val="both"/>
        <w:rPr>
          <w:rFonts w:eastAsia="TimesNewRoman"/>
        </w:rPr>
      </w:pPr>
      <w:r w:rsidRPr="00400E89">
        <w:rPr>
          <w:rFonts w:eastAsia="TimesNewRoman"/>
        </w:rPr>
        <w:t xml:space="preserve">Sefpodoksimin </w:t>
      </w:r>
      <w:proofErr w:type="gramStart"/>
      <w:r w:rsidRPr="00400E89">
        <w:rPr>
          <w:rFonts w:eastAsia="TimesNewRoman"/>
        </w:rPr>
        <w:t>konsantrasyonları</w:t>
      </w:r>
      <w:proofErr w:type="gramEnd"/>
      <w:r w:rsidRPr="00400E89">
        <w:rPr>
          <w:rFonts w:eastAsia="TimesNewRoman"/>
        </w:rPr>
        <w:t xml:space="preserve"> medullar ve kortikal dokularda benzerdir.</w:t>
      </w:r>
    </w:p>
    <w:p w:rsidR="005F52C8" w:rsidRPr="00400E89" w:rsidRDefault="005F52C8" w:rsidP="005F52C8">
      <w:pPr>
        <w:spacing w:line="360" w:lineRule="auto"/>
        <w:jc w:val="both"/>
        <w:rPr>
          <w:rFonts w:eastAsia="TimesNewRoman"/>
        </w:rPr>
      </w:pPr>
      <w:r w:rsidRPr="00400E89">
        <w:rPr>
          <w:rFonts w:eastAsia="TimesNewRoman"/>
        </w:rPr>
        <w:t>Sağlıklı gönüllülerdeki çalış</w:t>
      </w:r>
      <w:r w:rsidR="00E923A9" w:rsidRPr="00400E89">
        <w:rPr>
          <w:rFonts w:eastAsia="TimesNewRoman"/>
        </w:rPr>
        <w:t xml:space="preserve">malar, </w:t>
      </w:r>
      <w:r w:rsidR="00E923A9" w:rsidRPr="00400E89">
        <w:rPr>
          <w:rFonts w:eastAsia="TimesNewRoman"/>
          <w:i/>
        </w:rPr>
        <w:t>N. gonorrhoeae</w:t>
      </w:r>
      <w:r w:rsidR="00E923A9" w:rsidRPr="00400E89">
        <w:rPr>
          <w:rFonts w:eastAsia="TimesNewRoman"/>
        </w:rPr>
        <w:t>'nı</w:t>
      </w:r>
      <w:r w:rsidRPr="00400E89">
        <w:rPr>
          <w:rFonts w:eastAsia="TimesNewRoman"/>
        </w:rPr>
        <w:t>n MIC</w:t>
      </w:r>
      <w:r w:rsidR="00E923A9" w:rsidRPr="00400E89">
        <w:rPr>
          <w:rFonts w:eastAsia="TimesNewRoman"/>
          <w:vertAlign w:val="subscript"/>
        </w:rPr>
        <w:t>90</w:t>
      </w:r>
      <w:r w:rsidRPr="00400E89">
        <w:rPr>
          <w:rFonts w:eastAsia="TimesNewRoman"/>
        </w:rPr>
        <w:t>'</w:t>
      </w:r>
      <w:r w:rsidR="00E923A9" w:rsidRPr="00400E89">
        <w:rPr>
          <w:rFonts w:eastAsia="TimesNewRoman"/>
        </w:rPr>
        <w:t>nı</w:t>
      </w:r>
      <w:r w:rsidRPr="00400E89">
        <w:rPr>
          <w:rFonts w:eastAsia="TimesNewRoman"/>
        </w:rPr>
        <w:t xml:space="preserve">ın üzerindeki 200 mg'lık tek </w:t>
      </w:r>
      <w:r w:rsidRPr="00400E89">
        <w:rPr>
          <w:rFonts w:eastAsia="TimesNewRoman"/>
        </w:rPr>
        <w:lastRenderedPageBreak/>
        <w:t>dozunun verilmesini takiben 6-12 saatlerinde toplam ejekulasyonda sefpo</w:t>
      </w:r>
      <w:r w:rsidR="00AF6A07" w:rsidRPr="00400E89">
        <w:rPr>
          <w:rFonts w:eastAsia="TimesNewRoman"/>
        </w:rPr>
        <w:t xml:space="preserve">doksimin medyan </w:t>
      </w:r>
      <w:proofErr w:type="gramStart"/>
      <w:r w:rsidR="00AF6A07" w:rsidRPr="00400E89">
        <w:rPr>
          <w:rFonts w:eastAsia="TimesNewRoman"/>
        </w:rPr>
        <w:t>konsantrasyonları</w:t>
      </w:r>
      <w:r w:rsidRPr="00400E89">
        <w:rPr>
          <w:rFonts w:eastAsia="TimesNewRoman"/>
        </w:rPr>
        <w:t>nı</w:t>
      </w:r>
      <w:proofErr w:type="gramEnd"/>
      <w:r w:rsidRPr="00400E89">
        <w:rPr>
          <w:rFonts w:eastAsia="TimesNewRoman"/>
        </w:rPr>
        <w:t xml:space="preserve"> gösterir.</w:t>
      </w:r>
    </w:p>
    <w:p w:rsidR="005F52C8" w:rsidRPr="00400E89" w:rsidRDefault="00E923A9" w:rsidP="005F52C8">
      <w:pPr>
        <w:spacing w:line="360" w:lineRule="auto"/>
        <w:jc w:val="both"/>
        <w:rPr>
          <w:rFonts w:eastAsia="TimesNewRoman"/>
          <w:u w:val="single"/>
        </w:rPr>
      </w:pPr>
      <w:r w:rsidRPr="00400E89">
        <w:rPr>
          <w:rFonts w:eastAsia="TimesNewRoman"/>
          <w:u w:val="single"/>
        </w:rPr>
        <w:t>Biyotransformasy</w:t>
      </w:r>
      <w:r w:rsidR="005F52C8" w:rsidRPr="00400E89">
        <w:rPr>
          <w:rFonts w:eastAsia="TimesNewRoman"/>
          <w:u w:val="single"/>
        </w:rPr>
        <w:t>on:</w:t>
      </w:r>
    </w:p>
    <w:p w:rsidR="005F52C8" w:rsidRPr="00400E89" w:rsidRDefault="005F52C8" w:rsidP="005F52C8">
      <w:pPr>
        <w:spacing w:line="360" w:lineRule="auto"/>
        <w:jc w:val="both"/>
        <w:rPr>
          <w:rFonts w:eastAsia="TimesNewRoman"/>
        </w:rPr>
      </w:pPr>
      <w:r w:rsidRPr="00400E89">
        <w:rPr>
          <w:rFonts w:eastAsia="TimesNewRoman"/>
        </w:rPr>
        <w:t>Sefpodoksim proksetil, bağırsaklarda aktif metaboliti sefpodoksime hidrolize olur ve</w:t>
      </w:r>
      <w:r w:rsidR="00E923A9" w:rsidRPr="00400E89">
        <w:rPr>
          <w:rFonts w:eastAsia="TimesNewRoman"/>
        </w:rPr>
        <w:t xml:space="preserve"> </w:t>
      </w:r>
      <w:r w:rsidRPr="00400E89">
        <w:rPr>
          <w:rFonts w:eastAsia="TimesNewRoman"/>
        </w:rPr>
        <w:t>emilir.</w:t>
      </w:r>
    </w:p>
    <w:p w:rsidR="005F52C8" w:rsidRPr="00400E89" w:rsidRDefault="005F52C8" w:rsidP="005F52C8">
      <w:pPr>
        <w:spacing w:line="360" w:lineRule="auto"/>
        <w:jc w:val="both"/>
        <w:rPr>
          <w:rFonts w:eastAsia="TimesNewRoman"/>
          <w:u w:val="single"/>
        </w:rPr>
      </w:pPr>
      <w:r w:rsidRPr="00400E89">
        <w:rPr>
          <w:rFonts w:eastAsia="TimesNewRoman"/>
          <w:u w:val="single"/>
        </w:rPr>
        <w:t>Eliminasyon:</w:t>
      </w:r>
    </w:p>
    <w:p w:rsidR="005F52C8" w:rsidRPr="00400E89" w:rsidRDefault="005F52C8" w:rsidP="005F52C8">
      <w:pPr>
        <w:spacing w:line="360" w:lineRule="auto"/>
        <w:jc w:val="both"/>
        <w:rPr>
          <w:rFonts w:eastAsia="TimesNewRoman"/>
        </w:rPr>
      </w:pPr>
      <w:r w:rsidRPr="00400E89">
        <w:rPr>
          <w:rFonts w:eastAsia="TimesNewRoman"/>
        </w:rPr>
        <w:t xml:space="preserve">Ana </w:t>
      </w:r>
      <w:proofErr w:type="gramStart"/>
      <w:r w:rsidRPr="00400E89">
        <w:rPr>
          <w:rFonts w:eastAsia="TimesNewRoman"/>
        </w:rPr>
        <w:t>eliminasyon</w:t>
      </w:r>
      <w:proofErr w:type="gramEnd"/>
      <w:r w:rsidRPr="00400E89">
        <w:rPr>
          <w:rFonts w:eastAsia="TimesNewRoman"/>
        </w:rPr>
        <w:t xml:space="preserve"> yolu renaldir, bir eliminasyon yarı ömrü yaklaşık olarak 2.4 saattir</w:t>
      </w:r>
      <w:r w:rsidR="00E923A9" w:rsidRPr="00400E89">
        <w:rPr>
          <w:rFonts w:eastAsia="TimesNewRoman"/>
        </w:rPr>
        <w:t xml:space="preserve"> </w:t>
      </w:r>
      <w:r w:rsidRPr="00400E89">
        <w:rPr>
          <w:rFonts w:eastAsia="TimesNewRoman"/>
        </w:rPr>
        <w:t>ve %80'i idrardan değişmeden atılır.</w:t>
      </w:r>
    </w:p>
    <w:p w:rsidR="005F52C8" w:rsidRPr="00400E89" w:rsidRDefault="005F52C8" w:rsidP="005F52C8">
      <w:pPr>
        <w:spacing w:line="360" w:lineRule="auto"/>
        <w:jc w:val="both"/>
        <w:rPr>
          <w:rFonts w:eastAsia="TimesNewRoman"/>
          <w:u w:val="single"/>
        </w:rPr>
      </w:pPr>
      <w:r w:rsidRPr="00400E89">
        <w:rPr>
          <w:rFonts w:eastAsia="TimesNewRoman"/>
          <w:u w:val="single"/>
        </w:rPr>
        <w:t>Doğrusallık/ Doğrusal olmayan durum:</w:t>
      </w:r>
    </w:p>
    <w:p w:rsidR="005F52C8" w:rsidRPr="00400E89" w:rsidRDefault="005F52C8" w:rsidP="005F52C8">
      <w:pPr>
        <w:spacing w:line="360" w:lineRule="auto"/>
        <w:jc w:val="both"/>
        <w:rPr>
          <w:rFonts w:eastAsia="TimesNewRoman"/>
        </w:rPr>
      </w:pPr>
      <w:r w:rsidRPr="00400E89">
        <w:rPr>
          <w:rFonts w:eastAsia="TimesNewRoman"/>
        </w:rPr>
        <w:t>Sefpodoksim 100-400 mg doz aralığında doğrusal farmakokinetik gösterirken, 400 mg</w:t>
      </w:r>
      <w:r w:rsidR="00E923A9" w:rsidRPr="00400E89">
        <w:rPr>
          <w:rFonts w:eastAsia="TimesNewRoman"/>
        </w:rPr>
        <w:t xml:space="preserve"> </w:t>
      </w:r>
      <w:r w:rsidRPr="00400E89">
        <w:rPr>
          <w:rFonts w:eastAsia="TimesNewRoman"/>
        </w:rPr>
        <w:t>üstündeki dozlarda doğrusal olmayan farmakokinetik göstermektedir.</w:t>
      </w:r>
    </w:p>
    <w:p w:rsidR="005F52C8" w:rsidRPr="00400E89" w:rsidRDefault="005F52C8" w:rsidP="005F52C8">
      <w:pPr>
        <w:spacing w:line="360" w:lineRule="auto"/>
        <w:jc w:val="both"/>
        <w:rPr>
          <w:rFonts w:eastAsia="TimesNewRoman"/>
          <w:b/>
        </w:rPr>
      </w:pPr>
      <w:r w:rsidRPr="00400E89">
        <w:rPr>
          <w:rFonts w:eastAsia="TimesNewRoman"/>
          <w:b/>
        </w:rPr>
        <w:t>Hastalardaki karakteristik özellikler</w:t>
      </w:r>
    </w:p>
    <w:p w:rsidR="005F52C8" w:rsidRPr="00400E89" w:rsidRDefault="005F52C8" w:rsidP="005F52C8">
      <w:pPr>
        <w:spacing w:line="360" w:lineRule="auto"/>
        <w:jc w:val="both"/>
        <w:rPr>
          <w:rFonts w:eastAsia="TimesNewRoman"/>
          <w:u w:val="single"/>
        </w:rPr>
      </w:pPr>
      <w:r w:rsidRPr="00400E89">
        <w:rPr>
          <w:rFonts w:eastAsia="TimesNewRoman"/>
          <w:u w:val="single"/>
        </w:rPr>
        <w:t>Çocuklar:</w:t>
      </w:r>
    </w:p>
    <w:p w:rsidR="005F52C8" w:rsidRPr="00400E89" w:rsidRDefault="005F52C8" w:rsidP="005F52C8">
      <w:pPr>
        <w:spacing w:line="360" w:lineRule="auto"/>
        <w:jc w:val="both"/>
        <w:rPr>
          <w:rFonts w:eastAsia="TimesNewRoman"/>
        </w:rPr>
      </w:pPr>
      <w:r w:rsidRPr="00400E89">
        <w:rPr>
          <w:rFonts w:eastAsia="TimesNewRoman"/>
        </w:rPr>
        <w:t>Çocuklarda yapılan çalışmalar dozlama sonrası yaklaşık 2-4 saat sonra maksimum</w:t>
      </w:r>
      <w:r w:rsidR="00E923A9" w:rsidRPr="00400E89">
        <w:rPr>
          <w:rFonts w:eastAsia="TimesNewRoman"/>
        </w:rPr>
        <w:t xml:space="preserve"> </w:t>
      </w:r>
      <w:r w:rsidR="008C26B3" w:rsidRPr="00400E89">
        <w:rPr>
          <w:rFonts w:eastAsia="TimesNewRoman"/>
        </w:rPr>
        <w:t xml:space="preserve">plazma </w:t>
      </w:r>
      <w:proofErr w:type="gramStart"/>
      <w:r w:rsidR="008C26B3" w:rsidRPr="00400E89">
        <w:rPr>
          <w:rFonts w:eastAsia="TimesNewRoman"/>
        </w:rPr>
        <w:t>konsantrasyonu</w:t>
      </w:r>
      <w:proofErr w:type="gramEnd"/>
      <w:r w:rsidRPr="00400E89">
        <w:rPr>
          <w:rFonts w:eastAsia="TimesNewRoman"/>
        </w:rPr>
        <w:t xml:space="preserve"> meydana geldiğini göstermiştir. 4-12 yaş</w:t>
      </w:r>
      <w:r w:rsidR="008C26B3" w:rsidRPr="00400E89">
        <w:rPr>
          <w:rFonts w:eastAsia="TimesNewRoman"/>
        </w:rPr>
        <w:t>ın</w:t>
      </w:r>
      <w:r w:rsidRPr="00400E89">
        <w:rPr>
          <w:rFonts w:eastAsia="TimesNewRoman"/>
        </w:rPr>
        <w:t>dakilerde</w:t>
      </w:r>
      <w:r w:rsidR="00E923A9" w:rsidRPr="00400E89">
        <w:rPr>
          <w:rFonts w:eastAsia="TimesNewRoman"/>
        </w:rPr>
        <w:t xml:space="preserve"> </w:t>
      </w:r>
      <w:r w:rsidR="008C26B3" w:rsidRPr="00400E89">
        <w:rPr>
          <w:rFonts w:eastAsia="TimesNewRoman"/>
        </w:rPr>
        <w:t>5mg/kg'lık bir doz, 200 mg’l</w:t>
      </w:r>
      <w:r w:rsidRPr="00400E89">
        <w:rPr>
          <w:rFonts w:eastAsia="TimesNewRoman"/>
        </w:rPr>
        <w:t>ık bir doz verilen yetişkindekine benzer bir maksimum</w:t>
      </w:r>
      <w:r w:rsidR="00E923A9" w:rsidRPr="00400E89">
        <w:rPr>
          <w:rFonts w:eastAsia="TimesNewRoman"/>
        </w:rPr>
        <w:t xml:space="preserve"> </w:t>
      </w:r>
      <w:proofErr w:type="gramStart"/>
      <w:r w:rsidRPr="00400E89">
        <w:rPr>
          <w:rFonts w:eastAsia="TimesNewRoman"/>
        </w:rPr>
        <w:t>konsantrasyon</w:t>
      </w:r>
      <w:proofErr w:type="gramEnd"/>
      <w:r w:rsidRPr="00400E89">
        <w:rPr>
          <w:rFonts w:eastAsia="TimesNewRoman"/>
        </w:rPr>
        <w:t xml:space="preserve"> göstermiştir.</w:t>
      </w:r>
    </w:p>
    <w:p w:rsidR="005F52C8" w:rsidRPr="00400E89" w:rsidRDefault="008C26B3" w:rsidP="005F52C8">
      <w:pPr>
        <w:spacing w:line="360" w:lineRule="auto"/>
        <w:jc w:val="both"/>
        <w:rPr>
          <w:rFonts w:eastAsia="TimesNewRoman"/>
        </w:rPr>
      </w:pPr>
      <w:r w:rsidRPr="00400E89">
        <w:rPr>
          <w:rFonts w:eastAsia="TimesNewRoman"/>
        </w:rPr>
        <w:t>12 saatte bir 5 mg/kg'lı</w:t>
      </w:r>
      <w:r w:rsidR="005F52C8" w:rsidRPr="00400E89">
        <w:rPr>
          <w:rFonts w:eastAsia="TimesNewRoman"/>
        </w:rPr>
        <w:t>k tekrarlanan dozları alan 2 yaşın altındaki hastalarda,</w:t>
      </w:r>
      <w:r w:rsidRPr="00400E89">
        <w:rPr>
          <w:rFonts w:eastAsia="TimesNewRoman"/>
        </w:rPr>
        <w:t xml:space="preserve"> </w:t>
      </w:r>
      <w:r w:rsidR="005F52C8" w:rsidRPr="00400E89">
        <w:rPr>
          <w:rFonts w:eastAsia="TimesNewRoman"/>
        </w:rPr>
        <w:t xml:space="preserve">dozlamadan 2 saat sonra ortalama plazma konsantasyonları </w:t>
      </w:r>
      <w:proofErr w:type="gramStart"/>
      <w:r w:rsidR="005F52C8" w:rsidRPr="00400E89">
        <w:rPr>
          <w:rFonts w:eastAsia="TimesNewRoman"/>
        </w:rPr>
        <w:t>2.7</w:t>
      </w:r>
      <w:proofErr w:type="gramEnd"/>
      <w:r w:rsidR="005F52C8" w:rsidRPr="00400E89">
        <w:rPr>
          <w:rFonts w:eastAsia="TimesNewRoman"/>
        </w:rPr>
        <w:t xml:space="preserve"> mg/1 (1-6 ay) ve 2.0</w:t>
      </w:r>
      <w:r w:rsidRPr="00400E89">
        <w:rPr>
          <w:rFonts w:eastAsia="TimesNewRoman"/>
        </w:rPr>
        <w:t xml:space="preserve"> </w:t>
      </w:r>
      <w:r w:rsidR="005F52C8" w:rsidRPr="00400E89">
        <w:rPr>
          <w:rFonts w:eastAsia="TimesNewRoman"/>
        </w:rPr>
        <w:t>mg/1 (7 ay-2 yaş) arasındadır.</w:t>
      </w:r>
    </w:p>
    <w:p w:rsidR="005F52C8" w:rsidRPr="00400E89" w:rsidRDefault="008C26B3" w:rsidP="005F52C8">
      <w:pPr>
        <w:spacing w:line="360" w:lineRule="auto"/>
        <w:jc w:val="both"/>
        <w:rPr>
          <w:rFonts w:eastAsia="TimesNewRoman"/>
        </w:rPr>
      </w:pPr>
      <w:r w:rsidRPr="00400E89">
        <w:rPr>
          <w:rFonts w:eastAsia="TimesNewRoman"/>
        </w:rPr>
        <w:t>12 saatte bir 5 mg/kg'lı</w:t>
      </w:r>
      <w:r w:rsidR="005F52C8" w:rsidRPr="00400E89">
        <w:rPr>
          <w:rFonts w:eastAsia="TimesNewRoman"/>
        </w:rPr>
        <w:t>k tekrarlanan dozları alan 1 aylık ve 12 yaş arasındaki</w:t>
      </w:r>
      <w:r w:rsidRPr="00400E89">
        <w:rPr>
          <w:rFonts w:eastAsia="TimesNewRoman"/>
        </w:rPr>
        <w:t xml:space="preserve"> </w:t>
      </w:r>
      <w:r w:rsidR="005F52C8" w:rsidRPr="00400E89">
        <w:rPr>
          <w:rFonts w:eastAsia="TimesNewRoman"/>
        </w:rPr>
        <w:t xml:space="preserve">hastalarda, kararlı durumdaki rezidüel plazma konsantrasyonları </w:t>
      </w:r>
      <w:proofErr w:type="gramStart"/>
      <w:r w:rsidR="005F52C8" w:rsidRPr="00400E89">
        <w:rPr>
          <w:rFonts w:eastAsia="TimesNewRoman"/>
        </w:rPr>
        <w:t>0.2</w:t>
      </w:r>
      <w:proofErr w:type="gramEnd"/>
      <w:r w:rsidR="005F52C8" w:rsidRPr="00400E89">
        <w:rPr>
          <w:rFonts w:eastAsia="TimesNewRoman"/>
        </w:rPr>
        <w:t>-0.3 mg/1 (1 aylık-</w:t>
      </w:r>
      <w:r w:rsidRPr="00400E89">
        <w:rPr>
          <w:rFonts w:eastAsia="TimesNewRoman"/>
        </w:rPr>
        <w:t xml:space="preserve"> </w:t>
      </w:r>
      <w:r w:rsidR="005F52C8" w:rsidRPr="00400E89">
        <w:rPr>
          <w:rFonts w:eastAsia="TimesNewRoman"/>
        </w:rPr>
        <w:t>2 yaş) ve 0.1 mg/1 (2-12 yaş) arasındadır.</w:t>
      </w:r>
    </w:p>
    <w:p w:rsidR="005F52C8" w:rsidRPr="00400E89" w:rsidRDefault="005F52C8" w:rsidP="005F52C8">
      <w:pPr>
        <w:spacing w:line="360" w:lineRule="auto"/>
        <w:jc w:val="both"/>
        <w:rPr>
          <w:rFonts w:eastAsia="TimesNewRoman"/>
        </w:rPr>
      </w:pPr>
    </w:p>
    <w:p w:rsidR="005F52C8" w:rsidRPr="00400E89" w:rsidRDefault="005F52C8" w:rsidP="005F52C8">
      <w:pPr>
        <w:spacing w:line="360" w:lineRule="auto"/>
        <w:jc w:val="both"/>
        <w:rPr>
          <w:rFonts w:eastAsia="TimesNewRoman"/>
          <w:b/>
        </w:rPr>
      </w:pPr>
      <w:r w:rsidRPr="00400E89">
        <w:rPr>
          <w:rFonts w:eastAsia="TimesNewRoman"/>
          <w:b/>
        </w:rPr>
        <w:t>5.3. Klinik öncesi güvenlilik verileri</w:t>
      </w:r>
    </w:p>
    <w:p w:rsidR="005F52C8" w:rsidRPr="00400E89" w:rsidRDefault="005F52C8" w:rsidP="005F52C8">
      <w:pPr>
        <w:spacing w:line="360" w:lineRule="auto"/>
        <w:jc w:val="both"/>
        <w:rPr>
          <w:rFonts w:eastAsia="TimesNewRoman"/>
        </w:rPr>
      </w:pPr>
      <w:r w:rsidRPr="00400E89">
        <w:rPr>
          <w:rFonts w:eastAsia="TimesNewRoman"/>
        </w:rPr>
        <w:t>Uygulanabilir değildir.</w:t>
      </w:r>
    </w:p>
    <w:p w:rsidR="00ED061B" w:rsidRPr="00400E89" w:rsidRDefault="00ED061B" w:rsidP="005F52C8">
      <w:pPr>
        <w:spacing w:line="360" w:lineRule="auto"/>
        <w:jc w:val="both"/>
        <w:rPr>
          <w:rFonts w:eastAsia="TimesNewRoman"/>
        </w:rPr>
      </w:pPr>
    </w:p>
    <w:p w:rsidR="008D3A83" w:rsidRPr="00400E89" w:rsidRDefault="008D3A83" w:rsidP="005F52C8">
      <w:pPr>
        <w:pStyle w:val="Style6"/>
        <w:widowControl/>
        <w:spacing w:line="360" w:lineRule="auto"/>
        <w:jc w:val="both"/>
        <w:rPr>
          <w:rStyle w:val="FontStyle26"/>
          <w:color w:val="auto"/>
          <w:sz w:val="24"/>
          <w:szCs w:val="24"/>
        </w:rPr>
      </w:pPr>
      <w:r w:rsidRPr="00400E89">
        <w:rPr>
          <w:rStyle w:val="FontStyle26"/>
          <w:color w:val="auto"/>
          <w:sz w:val="24"/>
          <w:szCs w:val="24"/>
        </w:rPr>
        <w:t>6. FARMASÖTİK ÖZELLİKLER</w:t>
      </w: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6.1. Yardımcı maddelerin listesi</w:t>
      </w:r>
    </w:p>
    <w:p w:rsidR="006152BC" w:rsidRPr="00400E89" w:rsidRDefault="006152BC" w:rsidP="007307D9">
      <w:pPr>
        <w:spacing w:line="360" w:lineRule="auto"/>
        <w:jc w:val="both"/>
        <w:rPr>
          <w:rFonts w:eastAsia="TimesNewRoman"/>
        </w:rPr>
      </w:pPr>
      <w:r w:rsidRPr="00400E89">
        <w:rPr>
          <w:rFonts w:eastAsia="TimesNewRoman"/>
        </w:rPr>
        <w:t xml:space="preserve">Sodyum sitrat susuz </w:t>
      </w:r>
      <w:r w:rsidRPr="00400E89">
        <w:rPr>
          <w:rFonts w:eastAsia="TimesNewRoman"/>
        </w:rPr>
        <w:tab/>
      </w:r>
      <w:r w:rsidRPr="00400E89">
        <w:rPr>
          <w:rFonts w:eastAsia="TimesNewRoman"/>
        </w:rPr>
        <w:tab/>
      </w:r>
      <w:r w:rsidRPr="00400E89">
        <w:rPr>
          <w:rFonts w:eastAsia="TimesNewRoman"/>
        </w:rPr>
        <w:tab/>
      </w:r>
    </w:p>
    <w:p w:rsidR="006152BC" w:rsidRPr="00400E89" w:rsidRDefault="006152BC" w:rsidP="007307D9">
      <w:pPr>
        <w:spacing w:line="360" w:lineRule="auto"/>
        <w:jc w:val="both"/>
        <w:rPr>
          <w:rFonts w:eastAsia="TimesNewRoman"/>
        </w:rPr>
      </w:pPr>
      <w:r w:rsidRPr="00400E89">
        <w:rPr>
          <w:rFonts w:eastAsia="TimesNewRoman"/>
        </w:rPr>
        <w:t>Sodyum lauril sülfat</w:t>
      </w:r>
      <w:r w:rsidRPr="00400E89">
        <w:rPr>
          <w:rFonts w:eastAsia="TimesNewRoman"/>
        </w:rPr>
        <w:tab/>
      </w:r>
      <w:r w:rsidRPr="00400E89">
        <w:rPr>
          <w:rFonts w:eastAsia="TimesNewRoman"/>
        </w:rPr>
        <w:tab/>
      </w:r>
      <w:r w:rsidRPr="00400E89">
        <w:rPr>
          <w:rFonts w:eastAsia="TimesNewRoman"/>
        </w:rPr>
        <w:tab/>
      </w:r>
    </w:p>
    <w:p w:rsidR="006152BC" w:rsidRPr="00400E89" w:rsidRDefault="006152BC" w:rsidP="007307D9">
      <w:pPr>
        <w:spacing w:line="360" w:lineRule="auto"/>
        <w:jc w:val="both"/>
        <w:rPr>
          <w:rFonts w:eastAsia="TimesNewRoman"/>
        </w:rPr>
      </w:pPr>
      <w:r w:rsidRPr="00400E89">
        <w:rPr>
          <w:rFonts w:eastAsia="TimesNewRoman"/>
        </w:rPr>
        <w:t>Sodyum benzoat</w:t>
      </w:r>
      <w:r w:rsidRPr="00400E89">
        <w:rPr>
          <w:rFonts w:eastAsia="TimesNewRoman"/>
        </w:rPr>
        <w:tab/>
      </w:r>
      <w:r w:rsidRPr="00400E89">
        <w:rPr>
          <w:rFonts w:eastAsia="TimesNewRoman"/>
        </w:rPr>
        <w:tab/>
      </w:r>
      <w:r w:rsidRPr="00400E89">
        <w:rPr>
          <w:rFonts w:eastAsia="TimesNewRoman"/>
        </w:rPr>
        <w:tab/>
      </w:r>
    </w:p>
    <w:p w:rsidR="006152BC" w:rsidRPr="00400E89" w:rsidRDefault="006152BC" w:rsidP="007307D9">
      <w:pPr>
        <w:spacing w:line="360" w:lineRule="auto"/>
        <w:jc w:val="both"/>
        <w:rPr>
          <w:rFonts w:eastAsia="TimesNewRoman"/>
        </w:rPr>
      </w:pPr>
      <w:r w:rsidRPr="00400E89">
        <w:rPr>
          <w:rFonts w:eastAsia="TimesNewRoman"/>
        </w:rPr>
        <w:t>Aspartam</w:t>
      </w:r>
      <w:r w:rsidRPr="00400E89">
        <w:rPr>
          <w:rFonts w:eastAsia="TimesNewRoman"/>
        </w:rPr>
        <w:tab/>
      </w:r>
      <w:r w:rsidRPr="00400E89">
        <w:rPr>
          <w:rFonts w:eastAsia="TimesNewRoman"/>
        </w:rPr>
        <w:tab/>
      </w:r>
      <w:r w:rsidRPr="00400E89">
        <w:rPr>
          <w:rFonts w:eastAsia="TimesNewRoman"/>
        </w:rPr>
        <w:tab/>
      </w:r>
      <w:r w:rsidRPr="00400E89">
        <w:rPr>
          <w:rFonts w:eastAsia="TimesNewRoman"/>
        </w:rPr>
        <w:tab/>
      </w:r>
    </w:p>
    <w:p w:rsidR="006152BC" w:rsidRPr="00400E89" w:rsidRDefault="007307D9" w:rsidP="007307D9">
      <w:pPr>
        <w:spacing w:line="360" w:lineRule="auto"/>
        <w:jc w:val="both"/>
        <w:rPr>
          <w:rFonts w:eastAsia="TimesNewRoman"/>
        </w:rPr>
      </w:pPr>
      <w:r w:rsidRPr="00400E89">
        <w:rPr>
          <w:rFonts w:eastAsia="TimesNewRoman"/>
        </w:rPr>
        <w:t>Şeker</w:t>
      </w:r>
    </w:p>
    <w:p w:rsidR="00421480" w:rsidRPr="00400E89" w:rsidRDefault="00421480" w:rsidP="007307D9">
      <w:pPr>
        <w:spacing w:line="360" w:lineRule="auto"/>
        <w:jc w:val="both"/>
        <w:rPr>
          <w:rFonts w:eastAsia="TimesNewRoman"/>
        </w:rPr>
      </w:pPr>
      <w:r w:rsidRPr="00400E89">
        <w:rPr>
          <w:rFonts w:eastAsia="TimesNewRoman"/>
        </w:rPr>
        <w:t>Avicel CL611</w:t>
      </w:r>
    </w:p>
    <w:p w:rsidR="00421480" w:rsidRPr="00400E89" w:rsidRDefault="00421480" w:rsidP="005F52C8">
      <w:pPr>
        <w:spacing w:line="360" w:lineRule="auto"/>
        <w:jc w:val="both"/>
        <w:rPr>
          <w:rFonts w:eastAsia="TimesNewRoman"/>
        </w:rPr>
      </w:pPr>
      <w:r w:rsidRPr="00400E89">
        <w:rPr>
          <w:rFonts w:eastAsia="TimesNewRoman"/>
        </w:rPr>
        <w:t xml:space="preserve">Sitrik </w:t>
      </w:r>
      <w:r w:rsidR="006E79A1" w:rsidRPr="00400E89">
        <w:rPr>
          <w:rFonts w:eastAsia="TimesNewRoman"/>
        </w:rPr>
        <w:t xml:space="preserve">asit susuz </w:t>
      </w:r>
    </w:p>
    <w:p w:rsidR="00421480" w:rsidRPr="00400E89" w:rsidRDefault="00421480" w:rsidP="005F52C8">
      <w:pPr>
        <w:spacing w:line="360" w:lineRule="auto"/>
        <w:jc w:val="both"/>
        <w:rPr>
          <w:rFonts w:eastAsia="TimesNewRoman"/>
        </w:rPr>
      </w:pPr>
      <w:r w:rsidRPr="00400E89">
        <w:rPr>
          <w:rFonts w:eastAsia="TimesNewRoman"/>
        </w:rPr>
        <w:t xml:space="preserve">Kolloidal </w:t>
      </w:r>
      <w:r w:rsidR="006E79A1" w:rsidRPr="00400E89">
        <w:rPr>
          <w:rFonts w:eastAsia="TimesNewRoman"/>
        </w:rPr>
        <w:t>silikon dioksit</w:t>
      </w:r>
    </w:p>
    <w:p w:rsidR="00A30349" w:rsidRPr="00400E89" w:rsidRDefault="00A30349" w:rsidP="005F52C8">
      <w:pPr>
        <w:spacing w:line="360" w:lineRule="auto"/>
        <w:jc w:val="both"/>
        <w:rPr>
          <w:rFonts w:eastAsia="TimesNewRoman"/>
        </w:rPr>
      </w:pPr>
      <w:r w:rsidRPr="00400E89">
        <w:rPr>
          <w:rFonts w:eastAsia="TimesNewRoman"/>
        </w:rPr>
        <w:lastRenderedPageBreak/>
        <w:t xml:space="preserve">Çapraz </w:t>
      </w:r>
      <w:r w:rsidR="006E79A1" w:rsidRPr="00400E89">
        <w:rPr>
          <w:rFonts w:eastAsia="TimesNewRoman"/>
        </w:rPr>
        <w:t xml:space="preserve">bağlı karboksimetilselüloz sodyum </w:t>
      </w:r>
      <w:r w:rsidR="00421480" w:rsidRPr="00400E89">
        <w:rPr>
          <w:rFonts w:eastAsia="TimesNewRoman"/>
        </w:rPr>
        <w:t>(Ac-di-sol SD-711)</w:t>
      </w:r>
    </w:p>
    <w:p w:rsidR="00421480" w:rsidRPr="00400E89" w:rsidRDefault="00421480" w:rsidP="005F52C8">
      <w:pPr>
        <w:spacing w:line="360" w:lineRule="auto"/>
        <w:jc w:val="both"/>
        <w:rPr>
          <w:rFonts w:eastAsia="TimesNewRoman"/>
        </w:rPr>
      </w:pPr>
      <w:r w:rsidRPr="00400E89">
        <w:rPr>
          <w:rFonts w:eastAsia="TimesNewRoman"/>
        </w:rPr>
        <w:t xml:space="preserve">Vanilya </w:t>
      </w:r>
      <w:proofErr w:type="gramStart"/>
      <w:r w:rsidR="006E79A1" w:rsidRPr="00400E89">
        <w:rPr>
          <w:rFonts w:eastAsia="TimesNewRoman"/>
        </w:rPr>
        <w:t>aroması</w:t>
      </w:r>
      <w:proofErr w:type="gramEnd"/>
    </w:p>
    <w:p w:rsidR="00421480" w:rsidRPr="00400E89" w:rsidRDefault="00421480" w:rsidP="005F52C8">
      <w:pPr>
        <w:spacing w:line="360" w:lineRule="auto"/>
        <w:jc w:val="both"/>
        <w:rPr>
          <w:rFonts w:eastAsia="TimesNewRoman"/>
        </w:rPr>
      </w:pPr>
      <w:r w:rsidRPr="00400E89">
        <w:rPr>
          <w:rFonts w:eastAsia="TimesNewRoman"/>
        </w:rPr>
        <w:t xml:space="preserve">Tutti </w:t>
      </w:r>
      <w:r w:rsidR="006E79A1" w:rsidRPr="00400E89">
        <w:rPr>
          <w:rFonts w:eastAsia="TimesNewRoman"/>
        </w:rPr>
        <w:t xml:space="preserve">frutti </w:t>
      </w:r>
      <w:proofErr w:type="gramStart"/>
      <w:r w:rsidR="006E79A1" w:rsidRPr="00400E89">
        <w:rPr>
          <w:rFonts w:eastAsia="TimesNewRoman"/>
        </w:rPr>
        <w:t>aroması</w:t>
      </w:r>
      <w:proofErr w:type="gramEnd"/>
    </w:p>
    <w:p w:rsidR="00421480" w:rsidRPr="00400E89" w:rsidRDefault="00421480" w:rsidP="005F52C8">
      <w:pPr>
        <w:spacing w:line="360" w:lineRule="auto"/>
        <w:jc w:val="both"/>
        <w:rPr>
          <w:rFonts w:eastAsia="TimesNewRoman"/>
        </w:rPr>
      </w:pPr>
      <w:r w:rsidRPr="00400E89">
        <w:rPr>
          <w:rFonts w:eastAsia="TimesNewRoman"/>
        </w:rPr>
        <w:t xml:space="preserve">Portakal </w:t>
      </w:r>
      <w:proofErr w:type="gramStart"/>
      <w:r w:rsidR="006E79A1" w:rsidRPr="00400E89">
        <w:rPr>
          <w:rFonts w:eastAsia="TimesNewRoman"/>
        </w:rPr>
        <w:t>aroması</w:t>
      </w:r>
      <w:proofErr w:type="gramEnd"/>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6.2. Geçimsizlikler</w:t>
      </w:r>
    </w:p>
    <w:p w:rsidR="008D3A83" w:rsidRPr="00400E89" w:rsidRDefault="006152BC" w:rsidP="005F52C8">
      <w:pPr>
        <w:pStyle w:val="Style11"/>
        <w:widowControl/>
        <w:spacing w:line="360" w:lineRule="auto"/>
        <w:jc w:val="both"/>
        <w:rPr>
          <w:rStyle w:val="FontStyle23"/>
          <w:color w:val="auto"/>
          <w:sz w:val="24"/>
          <w:szCs w:val="24"/>
        </w:rPr>
      </w:pPr>
      <w:r w:rsidRPr="00400E89">
        <w:rPr>
          <w:rStyle w:val="FontStyle23"/>
          <w:color w:val="auto"/>
          <w:sz w:val="24"/>
          <w:szCs w:val="24"/>
        </w:rPr>
        <w:t>Bilinen bir geçimsizliği bulunmamaktadır.</w:t>
      </w: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6.3. Raf ömrü</w:t>
      </w:r>
    </w:p>
    <w:p w:rsidR="008D3A83" w:rsidRPr="00400E89" w:rsidRDefault="008D3A83" w:rsidP="005F52C8">
      <w:pPr>
        <w:pStyle w:val="Style11"/>
        <w:widowControl/>
        <w:spacing w:line="360" w:lineRule="auto"/>
        <w:jc w:val="both"/>
        <w:rPr>
          <w:rStyle w:val="FontStyle23"/>
          <w:color w:val="auto"/>
          <w:sz w:val="24"/>
          <w:szCs w:val="24"/>
        </w:rPr>
      </w:pPr>
      <w:r w:rsidRPr="00400E89">
        <w:rPr>
          <w:rStyle w:val="FontStyle23"/>
          <w:color w:val="auto"/>
          <w:sz w:val="24"/>
          <w:szCs w:val="24"/>
        </w:rPr>
        <w:t>24 ay</w:t>
      </w:r>
    </w:p>
    <w:p w:rsidR="001E29E5" w:rsidRPr="00400E89" w:rsidRDefault="00237564" w:rsidP="005F52C8">
      <w:pPr>
        <w:pStyle w:val="Style11"/>
        <w:widowControl/>
        <w:spacing w:line="360" w:lineRule="auto"/>
        <w:jc w:val="both"/>
      </w:pPr>
      <w:r w:rsidRPr="00400E89">
        <w:t>SEFTECH</w:t>
      </w:r>
      <w:r w:rsidR="007400D6" w:rsidRPr="00400E89">
        <w:t xml:space="preserve"> süspansiyon s</w:t>
      </w:r>
      <w:r w:rsidR="00F14B1C" w:rsidRPr="00400E89">
        <w:t xml:space="preserve">ulandırıldıktan sonra </w:t>
      </w:r>
      <w:r w:rsidR="00EB350D" w:rsidRPr="00400E89">
        <w:t xml:space="preserve">buzdolabında </w:t>
      </w:r>
      <w:r w:rsidR="00F14B1C" w:rsidRPr="00400E89">
        <w:t>2-8 °C’de 14 gün</w:t>
      </w:r>
      <w:r w:rsidR="009F1865" w:rsidRPr="00400E89">
        <w:t xml:space="preserve"> süre ile</w:t>
      </w:r>
      <w:r w:rsidR="00F14B1C" w:rsidRPr="00400E89">
        <w:t xml:space="preserve"> </w:t>
      </w:r>
      <w:proofErr w:type="gramStart"/>
      <w:r w:rsidR="00F14B1C" w:rsidRPr="00400E89">
        <w:t>stabildir</w:t>
      </w:r>
      <w:proofErr w:type="gramEnd"/>
      <w:r w:rsidR="003313F5" w:rsidRPr="00400E89">
        <w:t>.</w:t>
      </w: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6.4. Saklamaya yönelik özel tedbirler</w:t>
      </w:r>
    </w:p>
    <w:p w:rsidR="008D3A83" w:rsidRPr="00400E89" w:rsidRDefault="008D3A83" w:rsidP="005F52C8">
      <w:pPr>
        <w:pStyle w:val="Style11"/>
        <w:widowControl/>
        <w:spacing w:line="360" w:lineRule="auto"/>
        <w:jc w:val="both"/>
        <w:rPr>
          <w:rStyle w:val="FontStyle23"/>
          <w:color w:val="auto"/>
          <w:sz w:val="24"/>
          <w:szCs w:val="24"/>
        </w:rPr>
      </w:pPr>
      <w:r w:rsidRPr="00400E89">
        <w:rPr>
          <w:rStyle w:val="FontStyle23"/>
          <w:color w:val="auto"/>
          <w:sz w:val="24"/>
          <w:szCs w:val="24"/>
        </w:rPr>
        <w:t>25°C'nin altındaki oda sıcaklığında, kuru yerde ve ambalajında saklayınız.</w:t>
      </w: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6.5. Ambalajın niteli</w:t>
      </w:r>
      <w:r w:rsidRPr="00400E89">
        <w:rPr>
          <w:rStyle w:val="FontStyle25"/>
          <w:color w:val="auto"/>
          <w:sz w:val="24"/>
          <w:szCs w:val="24"/>
        </w:rPr>
        <w:t>ğ</w:t>
      </w:r>
      <w:r w:rsidRPr="00400E89">
        <w:rPr>
          <w:rStyle w:val="FontStyle26"/>
          <w:color w:val="auto"/>
          <w:sz w:val="24"/>
          <w:szCs w:val="24"/>
        </w:rPr>
        <w:t>i ve içeri</w:t>
      </w:r>
      <w:r w:rsidRPr="00400E89">
        <w:rPr>
          <w:rStyle w:val="FontStyle25"/>
          <w:color w:val="auto"/>
          <w:sz w:val="24"/>
          <w:szCs w:val="24"/>
        </w:rPr>
        <w:t>ğ</w:t>
      </w:r>
      <w:r w:rsidRPr="00400E89">
        <w:rPr>
          <w:rStyle w:val="FontStyle26"/>
          <w:color w:val="auto"/>
          <w:sz w:val="24"/>
          <w:szCs w:val="24"/>
        </w:rPr>
        <w:t>i</w:t>
      </w:r>
    </w:p>
    <w:p w:rsidR="00B1382B" w:rsidRPr="00400E89" w:rsidRDefault="000B7F0B" w:rsidP="005F52C8">
      <w:pPr>
        <w:pStyle w:val="Style4"/>
        <w:spacing w:line="360" w:lineRule="auto"/>
      </w:pPr>
      <w:r w:rsidRPr="00400E89">
        <w:t>Ç</w:t>
      </w:r>
      <w:r w:rsidR="00421480" w:rsidRPr="00400E89">
        <w:t>ocuk kilitli kapak ile kapatılmış amber renkli cam şişe</w:t>
      </w:r>
      <w:r w:rsidR="00B1382B" w:rsidRPr="00400E89">
        <w:t>.</w:t>
      </w:r>
    </w:p>
    <w:p w:rsidR="00421480" w:rsidRPr="00400E89" w:rsidRDefault="00237564" w:rsidP="005F52C8">
      <w:pPr>
        <w:pStyle w:val="Style4"/>
        <w:spacing w:line="360" w:lineRule="auto"/>
      </w:pPr>
      <w:r w:rsidRPr="00400E89">
        <w:t>SEFTECH</w:t>
      </w:r>
      <w:r w:rsidR="006152BC" w:rsidRPr="00400E89">
        <w:t xml:space="preserve"> </w:t>
      </w:r>
      <w:r w:rsidR="00B1382B" w:rsidRPr="00400E89">
        <w:t>oral süspa</w:t>
      </w:r>
      <w:r w:rsidR="00E032B4" w:rsidRPr="00400E89">
        <w:t>nsiyon hazırlamak için kuru toz</w:t>
      </w:r>
      <w:r w:rsidR="0009711D" w:rsidRPr="00400E89">
        <w:t xml:space="preserve"> 100 ml</w:t>
      </w:r>
      <w:r w:rsidR="006152BC" w:rsidRPr="00400E89">
        <w:t xml:space="preserve">’lik </w:t>
      </w:r>
      <w:r w:rsidR="00B1382B" w:rsidRPr="00400E89">
        <w:t>cam şişe</w:t>
      </w:r>
      <w:r w:rsidR="006152BC" w:rsidRPr="00400E89">
        <w:t>lerde</w:t>
      </w:r>
      <w:r w:rsidR="00B1382B" w:rsidRPr="00400E89">
        <w:t xml:space="preserve"> 5 ml’lik ölçek ile </w:t>
      </w:r>
      <w:r w:rsidR="007F2EEE" w:rsidRPr="00400E89">
        <w:t>birlikte piyasaya sunulmaktadır.</w:t>
      </w: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6.6. Be</w:t>
      </w:r>
      <w:r w:rsidRPr="00400E89">
        <w:rPr>
          <w:rStyle w:val="FontStyle25"/>
          <w:color w:val="auto"/>
          <w:sz w:val="24"/>
          <w:szCs w:val="24"/>
        </w:rPr>
        <w:t>ş</w:t>
      </w:r>
      <w:r w:rsidRPr="00400E89">
        <w:rPr>
          <w:rStyle w:val="FontStyle26"/>
          <w:color w:val="auto"/>
          <w:sz w:val="24"/>
          <w:szCs w:val="24"/>
        </w:rPr>
        <w:t>eri tıbbi üründen arta kalan maddelerin imhası ve di</w:t>
      </w:r>
      <w:r w:rsidRPr="00400E89">
        <w:rPr>
          <w:rStyle w:val="FontStyle25"/>
          <w:color w:val="auto"/>
          <w:sz w:val="24"/>
          <w:szCs w:val="24"/>
        </w:rPr>
        <w:t>ğ</w:t>
      </w:r>
      <w:r w:rsidRPr="00400E89">
        <w:rPr>
          <w:rStyle w:val="FontStyle26"/>
          <w:color w:val="auto"/>
          <w:sz w:val="24"/>
          <w:szCs w:val="24"/>
        </w:rPr>
        <w:t>er özel önlemler</w:t>
      </w:r>
    </w:p>
    <w:p w:rsidR="008D3A83" w:rsidRPr="00400E89" w:rsidRDefault="008D3A83" w:rsidP="005F52C8">
      <w:pPr>
        <w:pStyle w:val="Style2"/>
        <w:widowControl/>
        <w:spacing w:line="360" w:lineRule="auto"/>
        <w:jc w:val="both"/>
        <w:rPr>
          <w:rStyle w:val="FontStyle23"/>
          <w:color w:val="auto"/>
          <w:sz w:val="24"/>
          <w:szCs w:val="24"/>
        </w:rPr>
      </w:pPr>
      <w:r w:rsidRPr="00400E89">
        <w:rPr>
          <w:rStyle w:val="FontStyle23"/>
          <w:color w:val="auto"/>
          <w:sz w:val="24"/>
          <w:szCs w:val="24"/>
        </w:rPr>
        <w:t>Kullanılmamı</w:t>
      </w:r>
      <w:r w:rsidRPr="00400E89">
        <w:rPr>
          <w:rStyle w:val="FontStyle24"/>
          <w:color w:val="auto"/>
          <w:sz w:val="24"/>
          <w:szCs w:val="24"/>
        </w:rPr>
        <w:t xml:space="preserve">ş </w:t>
      </w:r>
      <w:r w:rsidRPr="00400E89">
        <w:rPr>
          <w:rStyle w:val="FontStyle23"/>
          <w:color w:val="auto"/>
          <w:sz w:val="24"/>
          <w:szCs w:val="24"/>
        </w:rPr>
        <w:t>olan ürünler ya da atık materyaller "Tıbbi Atıkların Kontrolü Yönetmeli</w:t>
      </w:r>
      <w:r w:rsidRPr="00400E89">
        <w:rPr>
          <w:rStyle w:val="FontStyle24"/>
          <w:color w:val="auto"/>
          <w:sz w:val="24"/>
          <w:szCs w:val="24"/>
        </w:rPr>
        <w:t>ğ</w:t>
      </w:r>
      <w:r w:rsidRPr="00400E89">
        <w:rPr>
          <w:rStyle w:val="FontStyle23"/>
          <w:color w:val="auto"/>
          <w:sz w:val="24"/>
          <w:szCs w:val="24"/>
        </w:rPr>
        <w:t xml:space="preserve">i" ve "Ambalaj </w:t>
      </w:r>
      <w:r w:rsidR="00E032B4" w:rsidRPr="00400E89">
        <w:rPr>
          <w:rFonts w:eastAsia="TimesNewRoman"/>
        </w:rPr>
        <w:t xml:space="preserve">ve Ambalaj </w:t>
      </w:r>
      <w:r w:rsidRPr="00400E89">
        <w:rPr>
          <w:rStyle w:val="FontStyle23"/>
          <w:color w:val="auto"/>
          <w:sz w:val="24"/>
          <w:szCs w:val="24"/>
        </w:rPr>
        <w:t>Atıklarının Kontrolü Yönetmelik"lerine uygun olarak imha edilmelidir.</w:t>
      </w:r>
    </w:p>
    <w:p w:rsidR="008D3A83" w:rsidRPr="00400E89" w:rsidRDefault="008D3A83" w:rsidP="005F52C8">
      <w:pPr>
        <w:pStyle w:val="Style2"/>
        <w:widowControl/>
        <w:spacing w:line="360" w:lineRule="auto"/>
        <w:jc w:val="both"/>
        <w:rPr>
          <w:rStyle w:val="FontStyle23"/>
          <w:color w:val="auto"/>
          <w:sz w:val="24"/>
          <w:szCs w:val="24"/>
        </w:rPr>
      </w:pPr>
    </w:p>
    <w:p w:rsidR="008D3A83" w:rsidRPr="00400E89" w:rsidRDefault="008D3A83" w:rsidP="005F52C8">
      <w:pPr>
        <w:pStyle w:val="Style4"/>
        <w:widowControl/>
        <w:spacing w:line="360" w:lineRule="auto"/>
        <w:jc w:val="both"/>
        <w:rPr>
          <w:rStyle w:val="FontStyle25"/>
          <w:color w:val="auto"/>
          <w:sz w:val="24"/>
          <w:szCs w:val="24"/>
        </w:rPr>
      </w:pPr>
      <w:r w:rsidRPr="00400E89">
        <w:rPr>
          <w:rStyle w:val="FontStyle26"/>
          <w:color w:val="auto"/>
          <w:sz w:val="24"/>
          <w:szCs w:val="24"/>
        </w:rPr>
        <w:t>7. RUHSAT SAH</w:t>
      </w:r>
      <w:r w:rsidRPr="00400E89">
        <w:rPr>
          <w:rStyle w:val="FontStyle25"/>
          <w:color w:val="auto"/>
          <w:sz w:val="24"/>
          <w:szCs w:val="24"/>
        </w:rPr>
        <w:t>İ</w:t>
      </w:r>
      <w:r w:rsidRPr="00400E89">
        <w:rPr>
          <w:rStyle w:val="FontStyle26"/>
          <w:color w:val="auto"/>
          <w:sz w:val="24"/>
          <w:szCs w:val="24"/>
        </w:rPr>
        <w:t>B</w:t>
      </w:r>
      <w:r w:rsidRPr="00400E89">
        <w:rPr>
          <w:rStyle w:val="FontStyle25"/>
          <w:color w:val="auto"/>
          <w:sz w:val="24"/>
          <w:szCs w:val="24"/>
        </w:rPr>
        <w:t>İ</w:t>
      </w:r>
    </w:p>
    <w:p w:rsidR="00A30349" w:rsidRPr="00400E89" w:rsidRDefault="00A30349" w:rsidP="005F52C8">
      <w:pPr>
        <w:pStyle w:val="Style4"/>
        <w:spacing w:line="360" w:lineRule="auto"/>
        <w:rPr>
          <w:bCs/>
        </w:rPr>
      </w:pPr>
      <w:r w:rsidRPr="00400E89">
        <w:rPr>
          <w:bCs/>
        </w:rPr>
        <w:t>Deva Holding A.Ş.</w:t>
      </w:r>
    </w:p>
    <w:p w:rsidR="00A30349" w:rsidRPr="00400E89" w:rsidRDefault="00A30349" w:rsidP="005F52C8">
      <w:pPr>
        <w:pStyle w:val="Style4"/>
        <w:spacing w:line="360" w:lineRule="auto"/>
        <w:rPr>
          <w:bCs/>
        </w:rPr>
      </w:pPr>
      <w:r w:rsidRPr="00400E89">
        <w:rPr>
          <w:bCs/>
        </w:rPr>
        <w:t>Halkalı Merkez Mah.</w:t>
      </w:r>
      <w:r w:rsidR="007400D6" w:rsidRPr="00400E89">
        <w:rPr>
          <w:bCs/>
        </w:rPr>
        <w:t xml:space="preserve"> </w:t>
      </w:r>
      <w:r w:rsidRPr="00400E89">
        <w:rPr>
          <w:bCs/>
        </w:rPr>
        <w:t>Basın Ekspres Cad.</w:t>
      </w:r>
    </w:p>
    <w:p w:rsidR="00A30349" w:rsidRPr="00400E89" w:rsidRDefault="00A30349" w:rsidP="005F52C8">
      <w:pPr>
        <w:pStyle w:val="Style4"/>
        <w:spacing w:line="360" w:lineRule="auto"/>
        <w:rPr>
          <w:bCs/>
        </w:rPr>
      </w:pPr>
      <w:r w:rsidRPr="00400E89">
        <w:rPr>
          <w:bCs/>
        </w:rPr>
        <w:t xml:space="preserve">No: 1 34303 Küçükçekmece – İstanbul </w:t>
      </w:r>
    </w:p>
    <w:p w:rsidR="00A30349" w:rsidRPr="00400E89" w:rsidRDefault="00A30349" w:rsidP="005F52C8">
      <w:pPr>
        <w:pStyle w:val="Style4"/>
        <w:spacing w:line="360" w:lineRule="auto"/>
        <w:rPr>
          <w:bCs/>
        </w:rPr>
      </w:pPr>
      <w:r w:rsidRPr="00400E89">
        <w:rPr>
          <w:bCs/>
        </w:rPr>
        <w:t xml:space="preserve">Tel: 0 212 692 92 </w:t>
      </w:r>
      <w:proofErr w:type="spellStart"/>
      <w:r w:rsidRPr="00400E89">
        <w:rPr>
          <w:bCs/>
        </w:rPr>
        <w:t>92</w:t>
      </w:r>
      <w:proofErr w:type="spellEnd"/>
    </w:p>
    <w:p w:rsidR="00A30349" w:rsidRPr="00400E89" w:rsidRDefault="00A30349" w:rsidP="005F52C8">
      <w:pPr>
        <w:pStyle w:val="Style4"/>
        <w:widowControl/>
        <w:spacing w:line="360" w:lineRule="auto"/>
        <w:jc w:val="both"/>
        <w:rPr>
          <w:rStyle w:val="FontStyle26"/>
          <w:color w:val="auto"/>
          <w:sz w:val="24"/>
          <w:szCs w:val="24"/>
        </w:rPr>
      </w:pPr>
    </w:p>
    <w:p w:rsidR="008D3A83" w:rsidRPr="00400E89" w:rsidRDefault="008D3A83" w:rsidP="005F52C8">
      <w:pPr>
        <w:pStyle w:val="Style4"/>
        <w:widowControl/>
        <w:spacing w:line="360" w:lineRule="auto"/>
        <w:jc w:val="both"/>
        <w:rPr>
          <w:rStyle w:val="FontStyle26"/>
          <w:color w:val="auto"/>
          <w:sz w:val="24"/>
          <w:szCs w:val="24"/>
        </w:rPr>
      </w:pPr>
      <w:r w:rsidRPr="00400E89">
        <w:rPr>
          <w:rStyle w:val="FontStyle26"/>
          <w:color w:val="auto"/>
          <w:sz w:val="24"/>
          <w:szCs w:val="24"/>
        </w:rPr>
        <w:t>8. RUHSAT NUMARASI</w:t>
      </w:r>
    </w:p>
    <w:p w:rsidR="001E29E5" w:rsidRPr="00400E89" w:rsidRDefault="005101AF" w:rsidP="005F52C8">
      <w:pPr>
        <w:pStyle w:val="Style4"/>
        <w:widowControl/>
        <w:spacing w:line="360" w:lineRule="auto"/>
        <w:jc w:val="both"/>
      </w:pPr>
      <w:r w:rsidRPr="00400E89">
        <w:t>240/7</w:t>
      </w:r>
    </w:p>
    <w:p w:rsidR="00416BEE" w:rsidRPr="00400E89" w:rsidRDefault="00416BEE" w:rsidP="005F52C8">
      <w:pPr>
        <w:pStyle w:val="Style4"/>
        <w:widowControl/>
        <w:spacing w:line="360" w:lineRule="auto"/>
        <w:jc w:val="both"/>
      </w:pPr>
    </w:p>
    <w:p w:rsidR="008D3A83" w:rsidRPr="00400E89" w:rsidRDefault="008D3A83" w:rsidP="005F52C8">
      <w:pPr>
        <w:pStyle w:val="Style4"/>
        <w:widowControl/>
        <w:spacing w:line="360" w:lineRule="auto"/>
        <w:jc w:val="both"/>
        <w:rPr>
          <w:rStyle w:val="FontStyle25"/>
          <w:color w:val="auto"/>
          <w:sz w:val="24"/>
          <w:szCs w:val="24"/>
        </w:rPr>
      </w:pPr>
      <w:r w:rsidRPr="00400E89">
        <w:rPr>
          <w:rStyle w:val="FontStyle26"/>
          <w:color w:val="auto"/>
          <w:sz w:val="24"/>
          <w:szCs w:val="24"/>
        </w:rPr>
        <w:t xml:space="preserve">9. </w:t>
      </w:r>
      <w:r w:rsidRPr="00400E89">
        <w:rPr>
          <w:rStyle w:val="FontStyle25"/>
          <w:color w:val="auto"/>
          <w:sz w:val="24"/>
          <w:szCs w:val="24"/>
        </w:rPr>
        <w:t>İ</w:t>
      </w:r>
      <w:r w:rsidRPr="00400E89">
        <w:rPr>
          <w:rStyle w:val="FontStyle26"/>
          <w:color w:val="auto"/>
          <w:sz w:val="24"/>
          <w:szCs w:val="24"/>
        </w:rPr>
        <w:t>LK RUHSAT TAR</w:t>
      </w:r>
      <w:r w:rsidRPr="00400E89">
        <w:rPr>
          <w:rStyle w:val="FontStyle25"/>
          <w:color w:val="auto"/>
          <w:sz w:val="24"/>
          <w:szCs w:val="24"/>
        </w:rPr>
        <w:t>İ</w:t>
      </w:r>
      <w:r w:rsidRPr="00400E89">
        <w:rPr>
          <w:rStyle w:val="FontStyle26"/>
          <w:color w:val="auto"/>
          <w:sz w:val="24"/>
          <w:szCs w:val="24"/>
        </w:rPr>
        <w:t>H</w:t>
      </w:r>
      <w:r w:rsidRPr="00400E89">
        <w:rPr>
          <w:rStyle w:val="FontStyle25"/>
          <w:color w:val="auto"/>
          <w:sz w:val="24"/>
          <w:szCs w:val="24"/>
        </w:rPr>
        <w:t>İ</w:t>
      </w:r>
      <w:r w:rsidRPr="00400E89">
        <w:rPr>
          <w:rStyle w:val="FontStyle26"/>
          <w:color w:val="auto"/>
          <w:sz w:val="24"/>
          <w:szCs w:val="24"/>
        </w:rPr>
        <w:t>/RUHSAT YEN</w:t>
      </w:r>
      <w:r w:rsidRPr="00400E89">
        <w:rPr>
          <w:rStyle w:val="FontStyle25"/>
          <w:color w:val="auto"/>
          <w:sz w:val="24"/>
          <w:szCs w:val="24"/>
        </w:rPr>
        <w:t>İ</w:t>
      </w:r>
      <w:r w:rsidRPr="00400E89">
        <w:rPr>
          <w:rStyle w:val="FontStyle26"/>
          <w:color w:val="auto"/>
          <w:sz w:val="24"/>
          <w:szCs w:val="24"/>
        </w:rPr>
        <w:t>LEME TAR</w:t>
      </w:r>
      <w:r w:rsidRPr="00400E89">
        <w:rPr>
          <w:rStyle w:val="FontStyle25"/>
          <w:color w:val="auto"/>
          <w:sz w:val="24"/>
          <w:szCs w:val="24"/>
        </w:rPr>
        <w:t>İ</w:t>
      </w:r>
      <w:r w:rsidRPr="00400E89">
        <w:rPr>
          <w:rStyle w:val="FontStyle26"/>
          <w:color w:val="auto"/>
          <w:sz w:val="24"/>
          <w:szCs w:val="24"/>
        </w:rPr>
        <w:t>H</w:t>
      </w:r>
      <w:r w:rsidRPr="00400E89">
        <w:rPr>
          <w:rStyle w:val="FontStyle25"/>
          <w:color w:val="auto"/>
          <w:sz w:val="24"/>
          <w:szCs w:val="24"/>
        </w:rPr>
        <w:t>İ</w:t>
      </w:r>
    </w:p>
    <w:p w:rsidR="007F2EEE" w:rsidRPr="00400E89" w:rsidRDefault="007F2EEE" w:rsidP="005F52C8">
      <w:pPr>
        <w:spacing w:line="360" w:lineRule="auto"/>
        <w:rPr>
          <w:rFonts w:eastAsia="TimesNewRoman"/>
        </w:rPr>
      </w:pPr>
      <w:r w:rsidRPr="00400E89">
        <w:rPr>
          <w:rFonts w:eastAsia="TimesNewRoman"/>
        </w:rPr>
        <w:t>İlk ruhsat tarihi:</w:t>
      </w:r>
      <w:r w:rsidR="005101AF" w:rsidRPr="00400E89">
        <w:rPr>
          <w:rFonts w:eastAsia="TimesNewRoman"/>
        </w:rPr>
        <w:t xml:space="preserve"> </w:t>
      </w:r>
      <w:r w:rsidR="005101AF" w:rsidRPr="00400E89">
        <w:t>08.02.2012</w:t>
      </w:r>
    </w:p>
    <w:p w:rsidR="007F2EEE" w:rsidRPr="00400E89" w:rsidRDefault="007F2EEE" w:rsidP="005F52C8">
      <w:pPr>
        <w:spacing w:line="360" w:lineRule="auto"/>
        <w:rPr>
          <w:rFonts w:eastAsia="TimesNewRoman"/>
        </w:rPr>
      </w:pPr>
      <w:r w:rsidRPr="00400E89">
        <w:rPr>
          <w:rFonts w:eastAsia="TimesNewRoman"/>
        </w:rPr>
        <w:t>Ruhsat yenileme tarihi:</w:t>
      </w:r>
    </w:p>
    <w:p w:rsidR="001E29E5" w:rsidRPr="00400E89" w:rsidRDefault="001E29E5" w:rsidP="005F52C8">
      <w:pPr>
        <w:pStyle w:val="Style6"/>
        <w:widowControl/>
        <w:spacing w:line="360" w:lineRule="auto"/>
        <w:jc w:val="both"/>
        <w:rPr>
          <w:rStyle w:val="FontStyle26"/>
          <w:color w:val="auto"/>
          <w:sz w:val="24"/>
          <w:szCs w:val="24"/>
        </w:rPr>
      </w:pPr>
    </w:p>
    <w:p w:rsidR="008D3A83" w:rsidRPr="00400E89" w:rsidRDefault="008D3A83" w:rsidP="005F52C8">
      <w:pPr>
        <w:pStyle w:val="Style6"/>
        <w:widowControl/>
        <w:spacing w:line="360" w:lineRule="auto"/>
        <w:jc w:val="both"/>
        <w:rPr>
          <w:rStyle w:val="FontStyle25"/>
          <w:color w:val="auto"/>
          <w:sz w:val="24"/>
          <w:szCs w:val="24"/>
        </w:rPr>
      </w:pPr>
      <w:r w:rsidRPr="00400E89">
        <w:rPr>
          <w:rStyle w:val="FontStyle26"/>
          <w:color w:val="auto"/>
          <w:sz w:val="24"/>
          <w:szCs w:val="24"/>
        </w:rPr>
        <w:t>10. KÜB'ÜN YEN</w:t>
      </w:r>
      <w:r w:rsidRPr="00400E89">
        <w:rPr>
          <w:rStyle w:val="FontStyle25"/>
          <w:color w:val="auto"/>
          <w:sz w:val="24"/>
          <w:szCs w:val="24"/>
        </w:rPr>
        <w:t>İ</w:t>
      </w:r>
      <w:r w:rsidRPr="00400E89">
        <w:rPr>
          <w:rStyle w:val="FontStyle26"/>
          <w:color w:val="auto"/>
          <w:sz w:val="24"/>
          <w:szCs w:val="24"/>
        </w:rPr>
        <w:t>LENME TAR</w:t>
      </w:r>
      <w:r w:rsidRPr="00400E89">
        <w:rPr>
          <w:rStyle w:val="FontStyle25"/>
          <w:color w:val="auto"/>
          <w:sz w:val="24"/>
          <w:szCs w:val="24"/>
        </w:rPr>
        <w:t>İ</w:t>
      </w:r>
      <w:r w:rsidRPr="00400E89">
        <w:rPr>
          <w:rStyle w:val="FontStyle26"/>
          <w:color w:val="auto"/>
          <w:sz w:val="24"/>
          <w:szCs w:val="24"/>
        </w:rPr>
        <w:t>H</w:t>
      </w:r>
      <w:r w:rsidRPr="00400E89">
        <w:rPr>
          <w:rStyle w:val="FontStyle25"/>
          <w:color w:val="auto"/>
          <w:sz w:val="24"/>
          <w:szCs w:val="24"/>
        </w:rPr>
        <w:t>İ</w:t>
      </w:r>
    </w:p>
    <w:p w:rsidR="005101AF" w:rsidRPr="00400E89" w:rsidRDefault="005101AF" w:rsidP="005F52C8">
      <w:pPr>
        <w:pStyle w:val="Style6"/>
        <w:widowControl/>
        <w:spacing w:line="360" w:lineRule="auto"/>
        <w:jc w:val="both"/>
        <w:rPr>
          <w:rStyle w:val="FontStyle25"/>
          <w:color w:val="auto"/>
          <w:sz w:val="24"/>
          <w:szCs w:val="24"/>
        </w:rPr>
      </w:pPr>
    </w:p>
    <w:sectPr w:rsidR="005101AF" w:rsidRPr="00400E89" w:rsidSect="001E29E5">
      <w:footerReference w:type="default" r:id="rId8"/>
      <w:pgSz w:w="11909" w:h="16834"/>
      <w:pgMar w:top="1440" w:right="1134" w:bottom="680" w:left="1440" w:header="709" w:footer="543"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AEC" w:rsidRDefault="000A5AEC">
      <w:r>
        <w:separator/>
      </w:r>
    </w:p>
  </w:endnote>
  <w:endnote w:type="continuationSeparator" w:id="0">
    <w:p w:rsidR="000A5AEC" w:rsidRDefault="000A5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Calibri">
    <w:panose1 w:val="020F0502020204030204"/>
    <w:charset w:val="A2"/>
    <w:family w:val="swiss"/>
    <w:pitch w:val="variable"/>
    <w:sig w:usb0="A00002EF" w:usb1="4000207B" w:usb2="00000000" w:usb3="00000000" w:csb0="0000009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9" w:rsidRDefault="00E5254F">
    <w:pPr>
      <w:pStyle w:val="Altbilgi"/>
      <w:jc w:val="right"/>
    </w:pPr>
    <w:fldSimple w:instr=" PAGE   \* MERGEFORMAT ">
      <w:r w:rsidR="00400E89">
        <w:rPr>
          <w:noProof/>
        </w:rPr>
        <w:t>10</w:t>
      </w:r>
    </w:fldSimple>
    <w:r w:rsidR="007307D9">
      <w:t>/11</w:t>
    </w:r>
  </w:p>
  <w:p w:rsidR="007307D9" w:rsidRDefault="007307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AEC" w:rsidRDefault="000A5AEC">
      <w:r>
        <w:separator/>
      </w:r>
    </w:p>
  </w:footnote>
  <w:footnote w:type="continuationSeparator" w:id="0">
    <w:p w:rsidR="000A5AEC" w:rsidRDefault="000A5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82531C"/>
    <w:lvl w:ilvl="0">
      <w:numFmt w:val="bullet"/>
      <w:lvlText w:val="*"/>
      <w:lvlJc w:val="left"/>
    </w:lvl>
  </w:abstractNum>
  <w:abstractNum w:abstractNumId="1">
    <w:nsid w:val="02872A98"/>
    <w:multiLevelType w:val="hybridMultilevel"/>
    <w:tmpl w:val="86A6E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25292E"/>
    <w:multiLevelType w:val="hybridMultilevel"/>
    <w:tmpl w:val="119CD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6F24B8"/>
    <w:multiLevelType w:val="hybridMultilevel"/>
    <w:tmpl w:val="B16C0972"/>
    <w:lvl w:ilvl="0" w:tplc="C486EE9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CC5CA6"/>
    <w:multiLevelType w:val="hybridMultilevel"/>
    <w:tmpl w:val="081EC46A"/>
    <w:lvl w:ilvl="0" w:tplc="767CED80">
      <w:start w:val="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EF255C"/>
    <w:multiLevelType w:val="hybridMultilevel"/>
    <w:tmpl w:val="E6143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99512E"/>
    <w:multiLevelType w:val="hybridMultilevel"/>
    <w:tmpl w:val="9BC8F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A3645A"/>
    <w:multiLevelType w:val="hybridMultilevel"/>
    <w:tmpl w:val="A35EB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5424D1"/>
    <w:multiLevelType w:val="hybridMultilevel"/>
    <w:tmpl w:val="2E2EE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47E3614"/>
    <w:multiLevelType w:val="hybridMultilevel"/>
    <w:tmpl w:val="CAA24610"/>
    <w:lvl w:ilvl="0" w:tplc="767CED80">
      <w:start w:val="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BC6662"/>
    <w:multiLevelType w:val="hybridMultilevel"/>
    <w:tmpl w:val="078E3FB2"/>
    <w:lvl w:ilvl="0" w:tplc="C486EE9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1C27D77"/>
    <w:multiLevelType w:val="hybridMultilevel"/>
    <w:tmpl w:val="208E4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A363A5D"/>
    <w:multiLevelType w:val="hybridMultilevel"/>
    <w:tmpl w:val="A7144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7"/>
  </w:num>
  <w:num w:numId="5">
    <w:abstractNumId w:val="4"/>
  </w:num>
  <w:num w:numId="6">
    <w:abstractNumId w:val="9"/>
  </w:num>
  <w:num w:numId="7">
    <w:abstractNumId w:val="6"/>
  </w:num>
  <w:num w:numId="8">
    <w:abstractNumId w:val="5"/>
  </w:num>
  <w:num w:numId="9">
    <w:abstractNumId w:val="0"/>
    <w:lvlOverride w:ilvl="0">
      <w:lvl w:ilvl="0">
        <w:start w:val="65535"/>
        <w:numFmt w:val="bullet"/>
        <w:lvlText w:val="•"/>
        <w:legacy w:legacy="1" w:legacySpace="0" w:legacyIndent="499"/>
        <w:lvlJc w:val="left"/>
        <w:rPr>
          <w:rFonts w:ascii="Verdana" w:hAnsi="Verdana" w:hint="default"/>
        </w:rPr>
      </w:lvl>
    </w:lvlOverride>
  </w:num>
  <w:num w:numId="10">
    <w:abstractNumId w:val="0"/>
    <w:lvlOverride w:ilvl="0">
      <w:lvl w:ilvl="0">
        <w:start w:val="65535"/>
        <w:numFmt w:val="bullet"/>
        <w:lvlText w:val="•"/>
        <w:legacy w:legacy="1" w:legacySpace="0" w:legacyIndent="225"/>
        <w:lvlJc w:val="left"/>
        <w:rPr>
          <w:rFonts w:ascii="Verdana" w:hAnsi="Verdana" w:hint="default"/>
        </w:rPr>
      </w:lvl>
    </w:lvlOverride>
  </w:num>
  <w:num w:numId="11">
    <w:abstractNumId w:val="0"/>
    <w:lvlOverride w:ilvl="0">
      <w:lvl w:ilvl="0">
        <w:start w:val="65535"/>
        <w:numFmt w:val="bullet"/>
        <w:lvlText w:val="•"/>
        <w:legacy w:legacy="1" w:legacySpace="0" w:legacyIndent="221"/>
        <w:lvlJc w:val="left"/>
        <w:rPr>
          <w:rFonts w:ascii="Verdana" w:hAnsi="Verdana" w:hint="default"/>
        </w:rPr>
      </w:lvl>
    </w:lvlOverride>
  </w:num>
  <w:num w:numId="12">
    <w:abstractNumId w:val="0"/>
    <w:lvlOverride w:ilvl="0">
      <w:lvl w:ilvl="0">
        <w:start w:val="65535"/>
        <w:numFmt w:val="bullet"/>
        <w:lvlText w:val="•"/>
        <w:legacy w:legacy="1" w:legacySpace="0" w:legacyIndent="220"/>
        <w:lvlJc w:val="left"/>
        <w:rPr>
          <w:rFonts w:ascii="Verdana" w:hAnsi="Verdana" w:hint="default"/>
        </w:rPr>
      </w:lvl>
    </w:lvlOverride>
  </w:num>
  <w:num w:numId="13">
    <w:abstractNumId w:val="8"/>
  </w:num>
  <w:num w:numId="14">
    <w:abstractNumId w:val="1"/>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61">
      <o:colormenu v:ext="edit" strokecolor="none [3204]"/>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A30349"/>
    <w:rsid w:val="00005A48"/>
    <w:rsid w:val="00023401"/>
    <w:rsid w:val="000235D8"/>
    <w:rsid w:val="000264C0"/>
    <w:rsid w:val="00026AA4"/>
    <w:rsid w:val="000337EB"/>
    <w:rsid w:val="00054AC1"/>
    <w:rsid w:val="00075F1E"/>
    <w:rsid w:val="00077749"/>
    <w:rsid w:val="0009559C"/>
    <w:rsid w:val="0009711D"/>
    <w:rsid w:val="000A0AA2"/>
    <w:rsid w:val="000A410D"/>
    <w:rsid w:val="000A5311"/>
    <w:rsid w:val="000A5AEC"/>
    <w:rsid w:val="000B7F0B"/>
    <w:rsid w:val="000C29D7"/>
    <w:rsid w:val="000E22F9"/>
    <w:rsid w:val="001332D3"/>
    <w:rsid w:val="00143017"/>
    <w:rsid w:val="001471E4"/>
    <w:rsid w:val="00147917"/>
    <w:rsid w:val="00173A34"/>
    <w:rsid w:val="00175EBB"/>
    <w:rsid w:val="001A301E"/>
    <w:rsid w:val="001A5884"/>
    <w:rsid w:val="001A79B6"/>
    <w:rsid w:val="001C5CF3"/>
    <w:rsid w:val="001D3DF7"/>
    <w:rsid w:val="001E29E5"/>
    <w:rsid w:val="001E613C"/>
    <w:rsid w:val="001F4534"/>
    <w:rsid w:val="00225C60"/>
    <w:rsid w:val="00225CEB"/>
    <w:rsid w:val="00227337"/>
    <w:rsid w:val="00231615"/>
    <w:rsid w:val="00237564"/>
    <w:rsid w:val="00237B69"/>
    <w:rsid w:val="00282858"/>
    <w:rsid w:val="00286764"/>
    <w:rsid w:val="002962E4"/>
    <w:rsid w:val="00296F1A"/>
    <w:rsid w:val="002A37B9"/>
    <w:rsid w:val="002D0B01"/>
    <w:rsid w:val="002D2E9B"/>
    <w:rsid w:val="002E020F"/>
    <w:rsid w:val="0030292E"/>
    <w:rsid w:val="003149B2"/>
    <w:rsid w:val="00315E7D"/>
    <w:rsid w:val="003313F5"/>
    <w:rsid w:val="00331DDC"/>
    <w:rsid w:val="003551E0"/>
    <w:rsid w:val="00364EA3"/>
    <w:rsid w:val="00376B57"/>
    <w:rsid w:val="00380806"/>
    <w:rsid w:val="00396372"/>
    <w:rsid w:val="0039707C"/>
    <w:rsid w:val="003B5374"/>
    <w:rsid w:val="003D2860"/>
    <w:rsid w:val="003D3F15"/>
    <w:rsid w:val="003D5A7F"/>
    <w:rsid w:val="003F2629"/>
    <w:rsid w:val="00400E89"/>
    <w:rsid w:val="00416BEE"/>
    <w:rsid w:val="00421480"/>
    <w:rsid w:val="004272C7"/>
    <w:rsid w:val="004376EC"/>
    <w:rsid w:val="0045270A"/>
    <w:rsid w:val="00485EDE"/>
    <w:rsid w:val="004970D2"/>
    <w:rsid w:val="004A5FDA"/>
    <w:rsid w:val="004B53FE"/>
    <w:rsid w:val="004C35BD"/>
    <w:rsid w:val="004C79FB"/>
    <w:rsid w:val="004D1C62"/>
    <w:rsid w:val="004E295F"/>
    <w:rsid w:val="004F4134"/>
    <w:rsid w:val="005031C0"/>
    <w:rsid w:val="005053DE"/>
    <w:rsid w:val="00507015"/>
    <w:rsid w:val="005101AF"/>
    <w:rsid w:val="005171F9"/>
    <w:rsid w:val="00521CDC"/>
    <w:rsid w:val="005277A4"/>
    <w:rsid w:val="00527E07"/>
    <w:rsid w:val="005516D6"/>
    <w:rsid w:val="005552C8"/>
    <w:rsid w:val="00571828"/>
    <w:rsid w:val="00583484"/>
    <w:rsid w:val="00584FAB"/>
    <w:rsid w:val="00585DD9"/>
    <w:rsid w:val="00593E62"/>
    <w:rsid w:val="005A5418"/>
    <w:rsid w:val="005A56EC"/>
    <w:rsid w:val="005C6D54"/>
    <w:rsid w:val="005E3A3F"/>
    <w:rsid w:val="005F52C8"/>
    <w:rsid w:val="00603E84"/>
    <w:rsid w:val="00605880"/>
    <w:rsid w:val="006152BC"/>
    <w:rsid w:val="00641D6E"/>
    <w:rsid w:val="006421C3"/>
    <w:rsid w:val="00653D6D"/>
    <w:rsid w:val="00656999"/>
    <w:rsid w:val="006606E0"/>
    <w:rsid w:val="006619DB"/>
    <w:rsid w:val="006761B4"/>
    <w:rsid w:val="00680156"/>
    <w:rsid w:val="0068100D"/>
    <w:rsid w:val="00685913"/>
    <w:rsid w:val="006D3750"/>
    <w:rsid w:val="006E3534"/>
    <w:rsid w:val="006E5CD4"/>
    <w:rsid w:val="006E79A1"/>
    <w:rsid w:val="00703C07"/>
    <w:rsid w:val="00716B5F"/>
    <w:rsid w:val="00717E0F"/>
    <w:rsid w:val="007307D9"/>
    <w:rsid w:val="007400D6"/>
    <w:rsid w:val="00744126"/>
    <w:rsid w:val="007523F5"/>
    <w:rsid w:val="00764505"/>
    <w:rsid w:val="00765A0C"/>
    <w:rsid w:val="00767081"/>
    <w:rsid w:val="0076767B"/>
    <w:rsid w:val="00781E6B"/>
    <w:rsid w:val="007928C7"/>
    <w:rsid w:val="00794BB9"/>
    <w:rsid w:val="007A1EF9"/>
    <w:rsid w:val="007A335E"/>
    <w:rsid w:val="007B6090"/>
    <w:rsid w:val="007B68A1"/>
    <w:rsid w:val="007C00CF"/>
    <w:rsid w:val="007C2EDA"/>
    <w:rsid w:val="007D302F"/>
    <w:rsid w:val="007D401A"/>
    <w:rsid w:val="007D7E2C"/>
    <w:rsid w:val="007D7E35"/>
    <w:rsid w:val="007F056B"/>
    <w:rsid w:val="007F2EEE"/>
    <w:rsid w:val="008209DB"/>
    <w:rsid w:val="00835119"/>
    <w:rsid w:val="008417E2"/>
    <w:rsid w:val="0084686D"/>
    <w:rsid w:val="00895A63"/>
    <w:rsid w:val="0089685D"/>
    <w:rsid w:val="00897463"/>
    <w:rsid w:val="008A48B2"/>
    <w:rsid w:val="008C26B3"/>
    <w:rsid w:val="008C3C0C"/>
    <w:rsid w:val="008D3A83"/>
    <w:rsid w:val="008D5304"/>
    <w:rsid w:val="008E11EF"/>
    <w:rsid w:val="008E7800"/>
    <w:rsid w:val="00902D66"/>
    <w:rsid w:val="00903C4F"/>
    <w:rsid w:val="0092051B"/>
    <w:rsid w:val="00935F80"/>
    <w:rsid w:val="00951A93"/>
    <w:rsid w:val="00956277"/>
    <w:rsid w:val="00963A58"/>
    <w:rsid w:val="00976423"/>
    <w:rsid w:val="00976F86"/>
    <w:rsid w:val="00977033"/>
    <w:rsid w:val="009870ED"/>
    <w:rsid w:val="009A297D"/>
    <w:rsid w:val="009A4C19"/>
    <w:rsid w:val="009D0C78"/>
    <w:rsid w:val="009D18B5"/>
    <w:rsid w:val="009D42F0"/>
    <w:rsid w:val="009F1865"/>
    <w:rsid w:val="009F5C05"/>
    <w:rsid w:val="00A04220"/>
    <w:rsid w:val="00A05C42"/>
    <w:rsid w:val="00A14478"/>
    <w:rsid w:val="00A2178F"/>
    <w:rsid w:val="00A30349"/>
    <w:rsid w:val="00A31DA0"/>
    <w:rsid w:val="00A31F59"/>
    <w:rsid w:val="00A40E36"/>
    <w:rsid w:val="00A51BAA"/>
    <w:rsid w:val="00A5582F"/>
    <w:rsid w:val="00A606AB"/>
    <w:rsid w:val="00A90C14"/>
    <w:rsid w:val="00A9528D"/>
    <w:rsid w:val="00AA50B3"/>
    <w:rsid w:val="00AB148C"/>
    <w:rsid w:val="00AB7A26"/>
    <w:rsid w:val="00AC04A0"/>
    <w:rsid w:val="00AF6A07"/>
    <w:rsid w:val="00B000A0"/>
    <w:rsid w:val="00B00C5A"/>
    <w:rsid w:val="00B11311"/>
    <w:rsid w:val="00B1382B"/>
    <w:rsid w:val="00B14CF1"/>
    <w:rsid w:val="00B31E31"/>
    <w:rsid w:val="00B36193"/>
    <w:rsid w:val="00B4220E"/>
    <w:rsid w:val="00B8743D"/>
    <w:rsid w:val="00B90A06"/>
    <w:rsid w:val="00B92890"/>
    <w:rsid w:val="00B93C4A"/>
    <w:rsid w:val="00BA1510"/>
    <w:rsid w:val="00BB6DC9"/>
    <w:rsid w:val="00BE208E"/>
    <w:rsid w:val="00BE54B5"/>
    <w:rsid w:val="00BE5B56"/>
    <w:rsid w:val="00C0148D"/>
    <w:rsid w:val="00C076F1"/>
    <w:rsid w:val="00C438ED"/>
    <w:rsid w:val="00C60B1E"/>
    <w:rsid w:val="00C77716"/>
    <w:rsid w:val="00C8305B"/>
    <w:rsid w:val="00C84223"/>
    <w:rsid w:val="00C96EC4"/>
    <w:rsid w:val="00CA3F0D"/>
    <w:rsid w:val="00CA7942"/>
    <w:rsid w:val="00CC1E11"/>
    <w:rsid w:val="00CD0589"/>
    <w:rsid w:val="00CD3301"/>
    <w:rsid w:val="00CD7A3E"/>
    <w:rsid w:val="00CF4563"/>
    <w:rsid w:val="00D04CE0"/>
    <w:rsid w:val="00D174E6"/>
    <w:rsid w:val="00D332AD"/>
    <w:rsid w:val="00D46D36"/>
    <w:rsid w:val="00D521FF"/>
    <w:rsid w:val="00D75B89"/>
    <w:rsid w:val="00DA478B"/>
    <w:rsid w:val="00DB7283"/>
    <w:rsid w:val="00DC27FB"/>
    <w:rsid w:val="00DE06B2"/>
    <w:rsid w:val="00E032B4"/>
    <w:rsid w:val="00E034F7"/>
    <w:rsid w:val="00E15F0C"/>
    <w:rsid w:val="00E2519C"/>
    <w:rsid w:val="00E33674"/>
    <w:rsid w:val="00E50B7B"/>
    <w:rsid w:val="00E5254F"/>
    <w:rsid w:val="00E64043"/>
    <w:rsid w:val="00E6665E"/>
    <w:rsid w:val="00E764D8"/>
    <w:rsid w:val="00E86648"/>
    <w:rsid w:val="00E923A9"/>
    <w:rsid w:val="00EA0780"/>
    <w:rsid w:val="00EA0C7E"/>
    <w:rsid w:val="00EB350D"/>
    <w:rsid w:val="00EB6E63"/>
    <w:rsid w:val="00ED061B"/>
    <w:rsid w:val="00ED6E6E"/>
    <w:rsid w:val="00F1292D"/>
    <w:rsid w:val="00F14982"/>
    <w:rsid w:val="00F14B1C"/>
    <w:rsid w:val="00F16DAB"/>
    <w:rsid w:val="00F232F1"/>
    <w:rsid w:val="00F43A84"/>
    <w:rsid w:val="00F525C6"/>
    <w:rsid w:val="00F6412A"/>
    <w:rsid w:val="00F82819"/>
    <w:rsid w:val="00F85AF0"/>
    <w:rsid w:val="00FB0775"/>
    <w:rsid w:val="00FB0993"/>
    <w:rsid w:val="00FB2540"/>
    <w:rsid w:val="00FE4EDC"/>
    <w:rsid w:val="00FE6532"/>
    <w:rsid w:val="00FE7475"/>
    <w:rsid w:val="00FF6F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E9B"/>
    <w:pPr>
      <w:widowControl w:val="0"/>
      <w:autoSpaceDE w:val="0"/>
      <w:autoSpaceDN w:val="0"/>
      <w:adjustRightInd w:val="0"/>
    </w:pPr>
    <w:rPr>
      <w:rFonts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rsid w:val="002D2E9B"/>
  </w:style>
  <w:style w:type="paragraph" w:customStyle="1" w:styleId="Style2">
    <w:name w:val="Style2"/>
    <w:basedOn w:val="Normal"/>
    <w:uiPriority w:val="99"/>
    <w:rsid w:val="002D2E9B"/>
  </w:style>
  <w:style w:type="paragraph" w:customStyle="1" w:styleId="Style3">
    <w:name w:val="Style3"/>
    <w:basedOn w:val="Normal"/>
    <w:rsid w:val="002D2E9B"/>
  </w:style>
  <w:style w:type="paragraph" w:customStyle="1" w:styleId="Style4">
    <w:name w:val="Style4"/>
    <w:basedOn w:val="Normal"/>
    <w:rsid w:val="002D2E9B"/>
  </w:style>
  <w:style w:type="paragraph" w:customStyle="1" w:styleId="Style5">
    <w:name w:val="Style5"/>
    <w:basedOn w:val="Normal"/>
    <w:link w:val="Style5Char"/>
    <w:uiPriority w:val="99"/>
    <w:rsid w:val="002D2E9B"/>
  </w:style>
  <w:style w:type="paragraph" w:customStyle="1" w:styleId="Style6">
    <w:name w:val="Style6"/>
    <w:basedOn w:val="Normal"/>
    <w:uiPriority w:val="99"/>
    <w:rsid w:val="002D2E9B"/>
  </w:style>
  <w:style w:type="paragraph" w:customStyle="1" w:styleId="Style7">
    <w:name w:val="Style7"/>
    <w:basedOn w:val="Normal"/>
    <w:rsid w:val="002D2E9B"/>
  </w:style>
  <w:style w:type="paragraph" w:customStyle="1" w:styleId="Style8">
    <w:name w:val="Style8"/>
    <w:basedOn w:val="Normal"/>
    <w:uiPriority w:val="99"/>
    <w:rsid w:val="002D2E9B"/>
  </w:style>
  <w:style w:type="paragraph" w:customStyle="1" w:styleId="Style9">
    <w:name w:val="Style9"/>
    <w:basedOn w:val="Normal"/>
    <w:uiPriority w:val="99"/>
    <w:rsid w:val="002D2E9B"/>
  </w:style>
  <w:style w:type="paragraph" w:customStyle="1" w:styleId="Style10">
    <w:name w:val="Style10"/>
    <w:basedOn w:val="Normal"/>
    <w:rsid w:val="002D2E9B"/>
  </w:style>
  <w:style w:type="paragraph" w:customStyle="1" w:styleId="Style11">
    <w:name w:val="Style11"/>
    <w:basedOn w:val="Normal"/>
    <w:uiPriority w:val="99"/>
    <w:rsid w:val="002D2E9B"/>
  </w:style>
  <w:style w:type="paragraph" w:customStyle="1" w:styleId="Style12">
    <w:name w:val="Style12"/>
    <w:basedOn w:val="Normal"/>
    <w:uiPriority w:val="99"/>
    <w:rsid w:val="002D2E9B"/>
  </w:style>
  <w:style w:type="paragraph" w:customStyle="1" w:styleId="Style13">
    <w:name w:val="Style13"/>
    <w:basedOn w:val="Normal"/>
    <w:rsid w:val="002D2E9B"/>
  </w:style>
  <w:style w:type="paragraph" w:customStyle="1" w:styleId="Style14">
    <w:name w:val="Style14"/>
    <w:basedOn w:val="Normal"/>
    <w:uiPriority w:val="99"/>
    <w:rsid w:val="002D2E9B"/>
  </w:style>
  <w:style w:type="character" w:customStyle="1" w:styleId="FontStyle16">
    <w:name w:val="Font Style16"/>
    <w:basedOn w:val="VarsaylanParagrafYazTipi"/>
    <w:uiPriority w:val="99"/>
    <w:rsid w:val="002D2E9B"/>
    <w:rPr>
      <w:rFonts w:ascii="Times New Roman" w:hAnsi="Times New Roman" w:cs="Times New Roman"/>
      <w:b/>
      <w:bCs/>
      <w:i/>
      <w:iCs/>
      <w:color w:val="000000"/>
      <w:sz w:val="20"/>
      <w:szCs w:val="20"/>
    </w:rPr>
  </w:style>
  <w:style w:type="character" w:customStyle="1" w:styleId="FontStyle17">
    <w:name w:val="Font Style17"/>
    <w:basedOn w:val="VarsaylanParagrafYazTipi"/>
    <w:uiPriority w:val="99"/>
    <w:rsid w:val="002D2E9B"/>
    <w:rPr>
      <w:rFonts w:ascii="Times New Roman" w:hAnsi="Times New Roman" w:cs="Times New Roman"/>
      <w:i/>
      <w:iCs/>
      <w:color w:val="000000"/>
      <w:sz w:val="20"/>
      <w:szCs w:val="20"/>
    </w:rPr>
  </w:style>
  <w:style w:type="character" w:customStyle="1" w:styleId="FontStyle18">
    <w:name w:val="Font Style18"/>
    <w:basedOn w:val="VarsaylanParagrafYazTipi"/>
    <w:uiPriority w:val="99"/>
    <w:rsid w:val="002D2E9B"/>
    <w:rPr>
      <w:rFonts w:ascii="Times New Roman" w:hAnsi="Times New Roman" w:cs="Times New Roman"/>
      <w:color w:val="000000"/>
      <w:sz w:val="18"/>
      <w:szCs w:val="18"/>
    </w:rPr>
  </w:style>
  <w:style w:type="character" w:customStyle="1" w:styleId="FontStyle19">
    <w:name w:val="Font Style19"/>
    <w:basedOn w:val="VarsaylanParagrafYazTipi"/>
    <w:uiPriority w:val="99"/>
    <w:rsid w:val="002D2E9B"/>
    <w:rPr>
      <w:rFonts w:ascii="Times New Roman" w:hAnsi="Times New Roman" w:cs="Times New Roman"/>
      <w:b/>
      <w:bCs/>
      <w:i/>
      <w:iCs/>
      <w:color w:val="000000"/>
      <w:sz w:val="18"/>
      <w:szCs w:val="18"/>
    </w:rPr>
  </w:style>
  <w:style w:type="character" w:customStyle="1" w:styleId="FontStyle20">
    <w:name w:val="Font Style20"/>
    <w:basedOn w:val="VarsaylanParagrafYazTipi"/>
    <w:uiPriority w:val="99"/>
    <w:rsid w:val="002D2E9B"/>
    <w:rPr>
      <w:rFonts w:ascii="Times New Roman" w:hAnsi="Times New Roman" w:cs="Times New Roman"/>
      <w:b/>
      <w:bCs/>
      <w:color w:val="000000"/>
      <w:sz w:val="18"/>
      <w:szCs w:val="18"/>
    </w:rPr>
  </w:style>
  <w:style w:type="character" w:customStyle="1" w:styleId="FontStyle21">
    <w:name w:val="Font Style21"/>
    <w:basedOn w:val="VarsaylanParagrafYazTipi"/>
    <w:uiPriority w:val="99"/>
    <w:rsid w:val="002D2E9B"/>
    <w:rPr>
      <w:rFonts w:ascii="Impact" w:hAnsi="Impact" w:cs="Impact"/>
      <w:color w:val="000000"/>
      <w:sz w:val="14"/>
      <w:szCs w:val="14"/>
    </w:rPr>
  </w:style>
  <w:style w:type="character" w:customStyle="1" w:styleId="FontStyle22">
    <w:name w:val="Font Style22"/>
    <w:basedOn w:val="VarsaylanParagrafYazTipi"/>
    <w:uiPriority w:val="99"/>
    <w:rsid w:val="002D2E9B"/>
    <w:rPr>
      <w:rFonts w:ascii="Times New Roman" w:hAnsi="Times New Roman" w:cs="Times New Roman"/>
      <w:color w:val="000000"/>
      <w:sz w:val="14"/>
      <w:szCs w:val="14"/>
    </w:rPr>
  </w:style>
  <w:style w:type="character" w:customStyle="1" w:styleId="FontStyle23">
    <w:name w:val="Font Style23"/>
    <w:basedOn w:val="VarsaylanParagrafYazTipi"/>
    <w:uiPriority w:val="99"/>
    <w:rsid w:val="002D2E9B"/>
    <w:rPr>
      <w:rFonts w:ascii="Times New Roman" w:hAnsi="Times New Roman" w:cs="Times New Roman"/>
      <w:color w:val="000000"/>
      <w:sz w:val="20"/>
      <w:szCs w:val="20"/>
    </w:rPr>
  </w:style>
  <w:style w:type="character" w:customStyle="1" w:styleId="FontStyle24">
    <w:name w:val="Font Style24"/>
    <w:basedOn w:val="VarsaylanParagrafYazTipi"/>
    <w:uiPriority w:val="99"/>
    <w:rsid w:val="002D2E9B"/>
    <w:rPr>
      <w:rFonts w:ascii="Times New Roman" w:hAnsi="Times New Roman" w:cs="Times New Roman"/>
      <w:color w:val="000000"/>
      <w:sz w:val="22"/>
      <w:szCs w:val="22"/>
    </w:rPr>
  </w:style>
  <w:style w:type="character" w:customStyle="1" w:styleId="FontStyle25">
    <w:name w:val="Font Style25"/>
    <w:basedOn w:val="VarsaylanParagrafYazTipi"/>
    <w:uiPriority w:val="99"/>
    <w:rsid w:val="002D2E9B"/>
    <w:rPr>
      <w:rFonts w:ascii="Times New Roman" w:hAnsi="Times New Roman" w:cs="Times New Roman"/>
      <w:b/>
      <w:bCs/>
      <w:color w:val="000000"/>
      <w:sz w:val="20"/>
      <w:szCs w:val="20"/>
    </w:rPr>
  </w:style>
  <w:style w:type="character" w:customStyle="1" w:styleId="FontStyle26">
    <w:name w:val="Font Style26"/>
    <w:basedOn w:val="VarsaylanParagrafYazTipi"/>
    <w:uiPriority w:val="99"/>
    <w:rsid w:val="002D2E9B"/>
    <w:rPr>
      <w:rFonts w:ascii="Times New Roman" w:hAnsi="Times New Roman" w:cs="Times New Roman"/>
      <w:b/>
      <w:bCs/>
      <w:color w:val="000000"/>
      <w:sz w:val="20"/>
      <w:szCs w:val="20"/>
    </w:rPr>
  </w:style>
  <w:style w:type="character" w:styleId="Kpr">
    <w:name w:val="Hyperlink"/>
    <w:basedOn w:val="VarsaylanParagrafYazTipi"/>
    <w:uiPriority w:val="99"/>
    <w:rsid w:val="002D2E9B"/>
    <w:rPr>
      <w:rFonts w:cs="Times New Roman"/>
      <w:color w:val="000080"/>
      <w:u w:val="single"/>
    </w:rPr>
  </w:style>
  <w:style w:type="paragraph" w:customStyle="1" w:styleId="Style15">
    <w:name w:val="Style15"/>
    <w:basedOn w:val="Normal"/>
    <w:rsid w:val="007D7E35"/>
    <w:rPr>
      <w:rFonts w:ascii="Arial" w:hAnsi="Arial" w:cs="Arial"/>
    </w:rPr>
  </w:style>
  <w:style w:type="paragraph" w:customStyle="1" w:styleId="Style24">
    <w:name w:val="Style24"/>
    <w:basedOn w:val="Normal"/>
    <w:rsid w:val="007D7E35"/>
    <w:rPr>
      <w:rFonts w:ascii="Arial" w:hAnsi="Arial" w:cs="Arial"/>
    </w:rPr>
  </w:style>
  <w:style w:type="character" w:customStyle="1" w:styleId="FontStyle37">
    <w:name w:val="Font Style37"/>
    <w:basedOn w:val="VarsaylanParagrafYazTipi"/>
    <w:rsid w:val="007D7E35"/>
    <w:rPr>
      <w:rFonts w:ascii="Arial" w:hAnsi="Arial" w:cs="Arial"/>
      <w:b/>
      <w:bCs/>
      <w:color w:val="000000"/>
      <w:sz w:val="22"/>
      <w:szCs w:val="22"/>
    </w:rPr>
  </w:style>
  <w:style w:type="character" w:customStyle="1" w:styleId="FontStyle39">
    <w:name w:val="Font Style39"/>
    <w:basedOn w:val="VarsaylanParagrafYazTipi"/>
    <w:rsid w:val="007D7E35"/>
    <w:rPr>
      <w:rFonts w:ascii="Times New Roman" w:hAnsi="Times New Roman" w:cs="Times New Roman"/>
      <w:b/>
      <w:bCs/>
      <w:color w:val="000000"/>
      <w:sz w:val="22"/>
      <w:szCs w:val="22"/>
    </w:rPr>
  </w:style>
  <w:style w:type="character" w:customStyle="1" w:styleId="FontStyle42">
    <w:name w:val="Font Style42"/>
    <w:basedOn w:val="VarsaylanParagrafYazTipi"/>
    <w:rsid w:val="007D7E35"/>
    <w:rPr>
      <w:rFonts w:ascii="Times New Roman" w:hAnsi="Times New Roman" w:cs="Times New Roman"/>
      <w:color w:val="000000"/>
      <w:sz w:val="22"/>
      <w:szCs w:val="22"/>
    </w:rPr>
  </w:style>
  <w:style w:type="table" w:styleId="TabloKlavuzu">
    <w:name w:val="Table Grid"/>
    <w:basedOn w:val="NormalTablo"/>
    <w:uiPriority w:val="99"/>
    <w:rsid w:val="00421480"/>
    <w:rPr>
      <w:rFonts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E295F"/>
    <w:pPr>
      <w:widowControl/>
      <w:autoSpaceDE/>
      <w:autoSpaceDN/>
      <w:adjustRightInd/>
      <w:spacing w:before="100" w:beforeAutospacing="1" w:after="75"/>
    </w:pPr>
    <w:rPr>
      <w:color w:val="000000"/>
    </w:rPr>
  </w:style>
  <w:style w:type="paragraph" w:styleId="stbilgi">
    <w:name w:val="header"/>
    <w:basedOn w:val="Normal"/>
    <w:link w:val="stbilgiChar"/>
    <w:uiPriority w:val="99"/>
    <w:semiHidden/>
    <w:unhideWhenUsed/>
    <w:rsid w:val="005277A4"/>
    <w:pPr>
      <w:tabs>
        <w:tab w:val="center" w:pos="4536"/>
        <w:tab w:val="right" w:pos="9072"/>
      </w:tabs>
    </w:pPr>
  </w:style>
  <w:style w:type="character" w:customStyle="1" w:styleId="stbilgiChar">
    <w:name w:val="Üstbilgi Char"/>
    <w:basedOn w:val="VarsaylanParagrafYazTipi"/>
    <w:link w:val="stbilgi"/>
    <w:uiPriority w:val="99"/>
    <w:semiHidden/>
    <w:rsid w:val="005277A4"/>
    <w:rPr>
      <w:rFonts w:hAnsi="Times New Roman"/>
      <w:sz w:val="24"/>
      <w:szCs w:val="24"/>
    </w:rPr>
  </w:style>
  <w:style w:type="paragraph" w:styleId="Altbilgi">
    <w:name w:val="footer"/>
    <w:basedOn w:val="Normal"/>
    <w:link w:val="AltbilgiChar"/>
    <w:uiPriority w:val="99"/>
    <w:unhideWhenUsed/>
    <w:rsid w:val="005277A4"/>
    <w:pPr>
      <w:tabs>
        <w:tab w:val="center" w:pos="4536"/>
        <w:tab w:val="right" w:pos="9072"/>
      </w:tabs>
    </w:pPr>
  </w:style>
  <w:style w:type="character" w:customStyle="1" w:styleId="AltbilgiChar">
    <w:name w:val="Altbilgi Char"/>
    <w:basedOn w:val="VarsaylanParagrafYazTipi"/>
    <w:link w:val="Altbilgi"/>
    <w:uiPriority w:val="99"/>
    <w:rsid w:val="005277A4"/>
    <w:rPr>
      <w:rFonts w:hAnsi="Times New Roman"/>
      <w:sz w:val="24"/>
      <w:szCs w:val="24"/>
    </w:rPr>
  </w:style>
  <w:style w:type="character" w:styleId="AklamaBavurusu">
    <w:name w:val="annotation reference"/>
    <w:basedOn w:val="VarsaylanParagrafYazTipi"/>
    <w:uiPriority w:val="99"/>
    <w:semiHidden/>
    <w:unhideWhenUsed/>
    <w:rsid w:val="007F2EEE"/>
    <w:rPr>
      <w:sz w:val="16"/>
      <w:szCs w:val="16"/>
    </w:rPr>
  </w:style>
  <w:style w:type="paragraph" w:styleId="AklamaMetni">
    <w:name w:val="annotation text"/>
    <w:basedOn w:val="Normal"/>
    <w:link w:val="AklamaMetniChar"/>
    <w:uiPriority w:val="99"/>
    <w:semiHidden/>
    <w:unhideWhenUsed/>
    <w:rsid w:val="007F2EEE"/>
    <w:rPr>
      <w:sz w:val="20"/>
      <w:szCs w:val="20"/>
    </w:rPr>
  </w:style>
  <w:style w:type="character" w:customStyle="1" w:styleId="AklamaMetniChar">
    <w:name w:val="Açıklama Metni Char"/>
    <w:basedOn w:val="VarsaylanParagrafYazTipi"/>
    <w:link w:val="AklamaMetni"/>
    <w:uiPriority w:val="99"/>
    <w:semiHidden/>
    <w:rsid w:val="007F2EEE"/>
    <w:rPr>
      <w:rFonts w:hAnsi="Times New Roman"/>
    </w:rPr>
  </w:style>
  <w:style w:type="paragraph" w:styleId="AklamaKonusu">
    <w:name w:val="annotation subject"/>
    <w:basedOn w:val="AklamaMetni"/>
    <w:next w:val="AklamaMetni"/>
    <w:link w:val="AklamaKonusuChar"/>
    <w:uiPriority w:val="99"/>
    <w:semiHidden/>
    <w:unhideWhenUsed/>
    <w:rsid w:val="007F2EEE"/>
    <w:rPr>
      <w:b/>
      <w:bCs/>
    </w:rPr>
  </w:style>
  <w:style w:type="character" w:customStyle="1" w:styleId="AklamaKonusuChar">
    <w:name w:val="Açıklama Konusu Char"/>
    <w:basedOn w:val="AklamaMetniChar"/>
    <w:link w:val="AklamaKonusu"/>
    <w:uiPriority w:val="99"/>
    <w:semiHidden/>
    <w:rsid w:val="007F2EEE"/>
    <w:rPr>
      <w:b/>
      <w:bCs/>
    </w:rPr>
  </w:style>
  <w:style w:type="paragraph" w:styleId="BalonMetni">
    <w:name w:val="Balloon Text"/>
    <w:basedOn w:val="Normal"/>
    <w:link w:val="BalonMetniChar"/>
    <w:uiPriority w:val="99"/>
    <w:semiHidden/>
    <w:unhideWhenUsed/>
    <w:rsid w:val="007F2EEE"/>
    <w:rPr>
      <w:rFonts w:ascii="Tahoma" w:hAnsi="Tahoma" w:cs="Tahoma"/>
      <w:sz w:val="16"/>
      <w:szCs w:val="16"/>
    </w:rPr>
  </w:style>
  <w:style w:type="character" w:customStyle="1" w:styleId="BalonMetniChar">
    <w:name w:val="Balon Metni Char"/>
    <w:basedOn w:val="VarsaylanParagrafYazTipi"/>
    <w:link w:val="BalonMetni"/>
    <w:uiPriority w:val="99"/>
    <w:semiHidden/>
    <w:rsid w:val="007F2EEE"/>
    <w:rPr>
      <w:rFonts w:ascii="Tahoma" w:hAnsi="Tahoma" w:cs="Tahoma"/>
      <w:sz w:val="16"/>
      <w:szCs w:val="16"/>
    </w:rPr>
  </w:style>
  <w:style w:type="paragraph" w:styleId="Dzeltme">
    <w:name w:val="Revision"/>
    <w:hidden/>
    <w:uiPriority w:val="99"/>
    <w:semiHidden/>
    <w:rsid w:val="007F2EEE"/>
    <w:rPr>
      <w:rFonts w:hAnsi="Times New Roman"/>
      <w:sz w:val="24"/>
      <w:szCs w:val="24"/>
    </w:rPr>
  </w:style>
  <w:style w:type="paragraph" w:customStyle="1" w:styleId="Default">
    <w:name w:val="Default"/>
    <w:link w:val="DefaultChar"/>
    <w:rsid w:val="006E5CD4"/>
    <w:pPr>
      <w:autoSpaceDE w:val="0"/>
      <w:autoSpaceDN w:val="0"/>
      <w:adjustRightInd w:val="0"/>
    </w:pPr>
    <w:rPr>
      <w:rFonts w:hAnsi="Times New Roman"/>
      <w:color w:val="000000"/>
      <w:sz w:val="24"/>
      <w:szCs w:val="24"/>
    </w:rPr>
  </w:style>
  <w:style w:type="character" w:customStyle="1" w:styleId="DefaultChar">
    <w:name w:val="Default Char"/>
    <w:basedOn w:val="VarsaylanParagrafYazTipi"/>
    <w:link w:val="Default"/>
    <w:rsid w:val="002A37B9"/>
    <w:rPr>
      <w:rFonts w:hAnsi="Times New Roman"/>
      <w:color w:val="000000"/>
      <w:sz w:val="24"/>
      <w:szCs w:val="24"/>
    </w:rPr>
  </w:style>
  <w:style w:type="character" w:customStyle="1" w:styleId="Style5Char">
    <w:name w:val="Style5 Char"/>
    <w:basedOn w:val="VarsaylanParagrafYazTipi"/>
    <w:link w:val="Style5"/>
    <w:uiPriority w:val="99"/>
    <w:rsid w:val="00FB0993"/>
    <w:rPr>
      <w:rFonts w:hAnsi="Times New Roman"/>
      <w:sz w:val="24"/>
      <w:szCs w:val="24"/>
    </w:rPr>
  </w:style>
  <w:style w:type="paragraph" w:styleId="ListeParagraf">
    <w:name w:val="List Paragraph"/>
    <w:basedOn w:val="Normal"/>
    <w:uiPriority w:val="34"/>
    <w:qFormat/>
    <w:rsid w:val="00A606AB"/>
    <w:pPr>
      <w:ind w:left="720"/>
      <w:contextualSpacing/>
    </w:pPr>
  </w:style>
</w:styles>
</file>

<file path=word/webSettings.xml><?xml version="1.0" encoding="utf-8"?>
<w:webSettings xmlns:r="http://schemas.openxmlformats.org/officeDocument/2006/relationships" xmlns:w="http://schemas.openxmlformats.org/wordprocessingml/2006/main">
  <w:divs>
    <w:div w:id="1571692165">
      <w:marLeft w:val="0"/>
      <w:marRight w:val="0"/>
      <w:marTop w:val="0"/>
      <w:marBottom w:val="0"/>
      <w:divBdr>
        <w:top w:val="none" w:sz="0" w:space="0" w:color="auto"/>
        <w:left w:val="none" w:sz="0" w:space="0" w:color="auto"/>
        <w:bottom w:val="none" w:sz="0" w:space="0" w:color="auto"/>
        <w:right w:val="none" w:sz="0" w:space="0" w:color="auto"/>
      </w:divBdr>
    </w:div>
    <w:div w:id="1571692166">
      <w:marLeft w:val="0"/>
      <w:marRight w:val="0"/>
      <w:marTop w:val="0"/>
      <w:marBottom w:val="0"/>
      <w:divBdr>
        <w:top w:val="none" w:sz="0" w:space="0" w:color="auto"/>
        <w:left w:val="none" w:sz="0" w:space="0" w:color="auto"/>
        <w:bottom w:val="none" w:sz="0" w:space="0" w:color="auto"/>
        <w:right w:val="none" w:sz="0" w:space="0" w:color="auto"/>
      </w:divBdr>
    </w:div>
    <w:div w:id="1571692167">
      <w:marLeft w:val="0"/>
      <w:marRight w:val="0"/>
      <w:marTop w:val="0"/>
      <w:marBottom w:val="0"/>
      <w:divBdr>
        <w:top w:val="none" w:sz="0" w:space="0" w:color="auto"/>
        <w:left w:val="none" w:sz="0" w:space="0" w:color="auto"/>
        <w:bottom w:val="none" w:sz="0" w:space="0" w:color="auto"/>
        <w:right w:val="none" w:sz="0" w:space="0" w:color="auto"/>
      </w:divBdr>
    </w:div>
    <w:div w:id="1571692168">
      <w:marLeft w:val="0"/>
      <w:marRight w:val="0"/>
      <w:marTop w:val="0"/>
      <w:marBottom w:val="0"/>
      <w:divBdr>
        <w:top w:val="none" w:sz="0" w:space="0" w:color="auto"/>
        <w:left w:val="none" w:sz="0" w:space="0" w:color="auto"/>
        <w:bottom w:val="none" w:sz="0" w:space="0" w:color="auto"/>
        <w:right w:val="none" w:sz="0" w:space="0" w:color="auto"/>
      </w:divBdr>
    </w:div>
    <w:div w:id="1571692169">
      <w:marLeft w:val="0"/>
      <w:marRight w:val="0"/>
      <w:marTop w:val="0"/>
      <w:marBottom w:val="0"/>
      <w:divBdr>
        <w:top w:val="none" w:sz="0" w:space="0" w:color="auto"/>
        <w:left w:val="none" w:sz="0" w:space="0" w:color="auto"/>
        <w:bottom w:val="none" w:sz="0" w:space="0" w:color="auto"/>
        <w:right w:val="none" w:sz="0" w:space="0" w:color="auto"/>
      </w:divBdr>
    </w:div>
    <w:div w:id="1571692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E176-F3BE-4C07-B0BF-915EC4DC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2464</Words>
  <Characters>17959</Characters>
  <Application>Microsoft Office Word</Application>
  <DocSecurity>0</DocSecurity>
  <Lines>149</Lines>
  <Paragraphs>40</Paragraphs>
  <ScaleCrop>false</ScaleCrop>
  <HeadingPairs>
    <vt:vector size="2" baseType="variant">
      <vt:variant>
        <vt:lpstr>Konu Başlığı</vt:lpstr>
      </vt:variant>
      <vt:variant>
        <vt:i4>1</vt:i4>
      </vt:variant>
    </vt:vector>
  </HeadingPairs>
  <TitlesOfParts>
    <vt:vector size="1" baseType="lpstr">
      <vt:lpstr>Microsoft Word - Infex_100mg_F.T._KUB.doc</vt:lpstr>
    </vt:vector>
  </TitlesOfParts>
  <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Infex_100mg_F.T._KUB.doc</dc:title>
  <dc:subject/>
  <dc:creator>rabia.gokdogan</dc:creator>
  <cp:keywords/>
  <dc:description/>
  <cp:lastModifiedBy>ebellikan</cp:lastModifiedBy>
  <cp:revision>3</cp:revision>
  <cp:lastPrinted>2012-01-25T07:35:00Z</cp:lastPrinted>
  <dcterms:created xsi:type="dcterms:W3CDTF">2014-08-27T06:22:00Z</dcterms:created>
  <dcterms:modified xsi:type="dcterms:W3CDTF">2014-10-16T12:29:00Z</dcterms:modified>
</cp:coreProperties>
</file>