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9A" w:rsidRPr="002D35D8" w:rsidRDefault="004044E6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                                                   </w:t>
      </w:r>
      <w:r w:rsidR="00566D9A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KISA ÜRÜN BİLGİSİ</w:t>
      </w:r>
    </w:p>
    <w:p w:rsidR="009F2254" w:rsidRPr="002D35D8" w:rsidRDefault="009F2254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1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BEŞERİ 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TIBBİ ÜRÜNÜN ADI</w:t>
      </w:r>
    </w:p>
    <w:p w:rsidR="007F387E" w:rsidRPr="002D35D8" w:rsidRDefault="006A00AF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DİFİLİN</w:t>
      </w:r>
      <w:r w:rsidR="000A284B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300 mg/</w:t>
      </w:r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0A284B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3 ml İ.M. </w:t>
      </w:r>
      <w:r w:rsidR="00B3591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ampul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56053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2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KALİTATİF VE KANTİTATİF BİLEŞİM</w:t>
      </w:r>
    </w:p>
    <w:p w:rsidR="00E86649" w:rsidRPr="002D35D8" w:rsidRDefault="00E8664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Etkin madde: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2F1127" w:rsidRPr="002D35D8" w:rsidRDefault="009F1AC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Her bir 3 ml’lik ampul </w:t>
      </w:r>
      <w:r w:rsidR="00E40AAE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300 mg</w:t>
      </w:r>
      <w:r w:rsidR="002F1127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7169AF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Dihidroksipropilteofilin</w:t>
      </w:r>
      <w:r w:rsidR="002F1127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içermektedir.</w:t>
      </w:r>
    </w:p>
    <w:p w:rsidR="00E86649" w:rsidRPr="002D35D8" w:rsidRDefault="00E8664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Yardımcı madde(ler):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943ABE" w:rsidRPr="002D35D8" w:rsidRDefault="00943ABE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Metil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paraben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2D35D8">
        <w:rPr>
          <w:rFonts w:ascii="Times New Roman" w:hAnsi="Times New Roman"/>
          <w:spacing w:val="0"/>
          <w:position w:val="0"/>
          <w:sz w:val="24"/>
          <w:szCs w:val="24"/>
          <w:u w:val="dotted"/>
          <w:lang w:val="tr-TR"/>
        </w:rPr>
        <w:tab/>
      </w:r>
      <w:r w:rsidRPr="002D35D8">
        <w:rPr>
          <w:rFonts w:ascii="Times New Roman" w:hAnsi="Times New Roman"/>
          <w:spacing w:val="0"/>
          <w:position w:val="0"/>
          <w:sz w:val="24"/>
          <w:szCs w:val="24"/>
          <w:u w:val="dotted"/>
          <w:lang w:val="tr-TR"/>
        </w:rPr>
        <w:tab/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 mg</w:t>
      </w:r>
    </w:p>
    <w:p w:rsidR="002F1127" w:rsidRPr="002D35D8" w:rsidRDefault="009F1AC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Yardımcı maddeler için </w:t>
      </w:r>
      <w:proofErr w:type="gramStart"/>
      <w:r w:rsidR="00E8664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6.1’e</w:t>
      </w:r>
      <w:proofErr w:type="gramEnd"/>
      <w:r w:rsidR="00E8664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bakınız.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C4469" w:rsidRPr="002D35D8" w:rsidRDefault="001D0E3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3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FARMASÖTİK FORM</w:t>
      </w:r>
    </w:p>
    <w:p w:rsidR="006A00AF" w:rsidRPr="002D35D8" w:rsidRDefault="00CB7E9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Enjeksiyonluk çözelti</w:t>
      </w:r>
    </w:p>
    <w:p w:rsidR="007169AF" w:rsidRPr="002D35D8" w:rsidRDefault="007169AF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Berrak</w:t>
      </w:r>
      <w:r w:rsidR="004F2C6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E40AAE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renksiz, kokusuz</w:t>
      </w:r>
      <w:r w:rsidR="00A677A7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solüsyon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E86649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</w:t>
      </w:r>
      <w:r w:rsidR="00073968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KLİNİK ÖZELLİKLERİ</w:t>
      </w:r>
    </w:p>
    <w:p w:rsidR="00073968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4.1 T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erapötik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endikasyonlar</w:t>
      </w:r>
    </w:p>
    <w:p w:rsidR="00AD152D" w:rsidRPr="002D35D8" w:rsidRDefault="00B3591C" w:rsidP="00C52813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Difilin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AB1B1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ampul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akut bronşiyal astmada, kronik bronşit ve amfizemde birlikte görülen reversibl bronkospazmlarda kullanılır. </w:t>
      </w:r>
    </w:p>
    <w:p w:rsidR="00C52813" w:rsidRPr="002D35D8" w:rsidRDefault="00C52813" w:rsidP="00C52813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FF5152" w:rsidP="00C52813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4.2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Pozoloji ve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uygulama şekli</w:t>
      </w:r>
    </w:p>
    <w:p w:rsidR="009F1AC9" w:rsidRPr="002D35D8" w:rsidRDefault="009F1AC9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Pozoloji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/</w:t>
      </w: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uygulama sıklığı ve süresi:</w:t>
      </w:r>
    </w:p>
    <w:p w:rsidR="001048B0" w:rsidRPr="002D35D8" w:rsidRDefault="009F1AC9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Doktor 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tavsiyesine göre 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Difilin 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günd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e 1-2 ampul 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olarak 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adaleye enjekte edil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ir.</w:t>
      </w:r>
    </w:p>
    <w:p w:rsidR="00C52813" w:rsidRPr="002D35D8" w:rsidRDefault="00C52813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</w:p>
    <w:p w:rsidR="00AB1B19" w:rsidRPr="002D35D8" w:rsidRDefault="00AB1B19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Uygulama sekli:</w:t>
      </w:r>
    </w:p>
    <w:p w:rsidR="00AB1B19" w:rsidRPr="002D35D8" w:rsidRDefault="00AB1B19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Difilin kas içine uygulanır.</w:t>
      </w:r>
    </w:p>
    <w:p w:rsidR="00C52813" w:rsidRPr="002D35D8" w:rsidRDefault="00C52813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</w:p>
    <w:p w:rsidR="009F1AC9" w:rsidRPr="002D35D8" w:rsidRDefault="009F1AC9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Özel </w:t>
      </w:r>
      <w:proofErr w:type="gramStart"/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popülasyonlara</w:t>
      </w:r>
      <w:proofErr w:type="gramEnd"/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ilişkin ek bilgiler:</w:t>
      </w:r>
    </w:p>
    <w:p w:rsidR="009F1AC9" w:rsidRPr="002D35D8" w:rsidRDefault="00BC7314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Böbrek</w:t>
      </w:r>
      <w:r w:rsidR="009F1AC9"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yetmezliği: </w:t>
      </w:r>
    </w:p>
    <w:p w:rsidR="009F1AC9" w:rsidRPr="002D35D8" w:rsidRDefault="001048B0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Difilin primer olarak metabolize olmadan böbreklerden idrarla atılmaktadır. Bu nedenle, böbrek yetmezliği olan hastalarda kullanılmamalı veya doz ayarlaması yapılmalıdır.</w:t>
      </w:r>
    </w:p>
    <w:p w:rsidR="00BC7314" w:rsidRPr="002D35D8" w:rsidRDefault="00BC7314" w:rsidP="00C52813">
      <w:pPr>
        <w:pStyle w:val="GvdeMetni"/>
        <w:spacing w:after="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Karaciğer yetmezliği:</w:t>
      </w:r>
    </w:p>
    <w:p w:rsidR="00BC7314" w:rsidRPr="002D35D8" w:rsidRDefault="00BC7314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Karaciğer fonksiyonu bozuk olan hastalarda doz ayarlanırken dikkatli olunmalıdır.</w:t>
      </w:r>
    </w:p>
    <w:p w:rsidR="009F1AC9" w:rsidRPr="002D35D8" w:rsidRDefault="009F1AC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Pediyatrik</w:t>
      </w:r>
      <w:proofErr w:type="spellEnd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: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BC7314" w:rsidRPr="002D35D8" w:rsidRDefault="00BC7314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Çocuklarda aşırı doz kullanılması toksik etkilere yol açabilir. Pediatrik kullanımda emniyet ve etkinliği belirlenemediğinden bebeklerde kullanılması tavsiye edilmez.</w:t>
      </w:r>
    </w:p>
    <w:p w:rsidR="009F1AC9" w:rsidRPr="002D35D8" w:rsidRDefault="009F1AC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Geriyatrik </w:t>
      </w:r>
      <w:proofErr w:type="gramStart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:</w:t>
      </w:r>
      <w:r w:rsidR="00BC7314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BC7314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Yaşlı hastalarda </w:t>
      </w:r>
      <w:r w:rsidR="001A0446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</w:t>
      </w:r>
      <w:r w:rsidR="00BC7314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öbrek fonksiyonunun azalması göz önünde bulundurularak doz ayarlaması yapılmalıdır.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4.3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Kontrendikasyonlar</w:t>
      </w:r>
    </w:p>
    <w:p w:rsidR="00086299" w:rsidRPr="002D35D8" w:rsidRDefault="00086299" w:rsidP="00086299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DİFİLİN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aşağıdaki durumlarda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konrendikedir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</w:t>
      </w:r>
    </w:p>
    <w:p w:rsidR="00086299" w:rsidRPr="002D35D8" w:rsidRDefault="00086299" w:rsidP="00086299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Miyokard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infarktüsünün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akut safhasında, </w:t>
      </w:r>
    </w:p>
    <w:p w:rsidR="00086299" w:rsidRPr="002D35D8" w:rsidRDefault="00086299" w:rsidP="00086299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Ağır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peptik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ülserde,</w:t>
      </w:r>
    </w:p>
    <w:p w:rsidR="00086299" w:rsidRPr="002D35D8" w:rsidRDefault="00086299" w:rsidP="00086299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Dihidroksipropilteofiline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ksantin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bileşiklerine veya </w:t>
      </w:r>
      <w:proofErr w:type="spellStart"/>
      <w:r w:rsidRPr="002D35D8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DİFİLİN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’in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içerisindeki yardımcı maddelerden herhangi birine karşı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hipersensitivite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gösteren bireylerde </w:t>
      </w:r>
    </w:p>
    <w:p w:rsidR="00C52813" w:rsidRPr="002D35D8" w:rsidRDefault="00C52813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52813" w:rsidRPr="002D35D8" w:rsidRDefault="00073968" w:rsidP="00C52813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4.4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Özel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kullanım uyarıları ve önlemleri</w:t>
      </w:r>
    </w:p>
    <w:p w:rsidR="00BC6F3C" w:rsidRPr="002D35D8" w:rsidRDefault="00BC6F3C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Kalp hastalarında;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hipotiroidte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hipertansiyonda ve </w:t>
      </w:r>
      <w:proofErr w:type="spellStart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konjestif</w:t>
      </w:r>
      <w:proofErr w:type="spellEnd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kalp yetmezliği olan ya da akut </w:t>
      </w:r>
      <w:proofErr w:type="spellStart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miyokard</w:t>
      </w:r>
      <w:proofErr w:type="spellEnd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infarktüsü</w:t>
      </w:r>
      <w:proofErr w:type="spellEnd"/>
      <w:r w:rsidR="001E515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geçirmiş kişilerde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dikkatle kullanılmalıdır. </w:t>
      </w:r>
    </w:p>
    <w:p w:rsidR="00BC6F3C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Status </w:t>
      </w:r>
      <w:r w:rsidR="007169AF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astmatikusta ve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çocuklarda aşırı dozların kullanılması toksik etkilere yol açabilir. Pediatrik kullanımda emniyet ve etkinliği belirlenemediğinden bebeklerde kullanılması tavsiye edilmez.</w:t>
      </w:r>
    </w:p>
    <w:p w:rsidR="001E5150" w:rsidRPr="002D35D8" w:rsidRDefault="001E5150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KOAH hastalarında dikkatle kullanılmalıdır.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serum AST konsantrasyonunu yükseltir.</w:t>
      </w:r>
    </w:p>
    <w:p w:rsidR="00C52813" w:rsidRPr="002D35D8" w:rsidRDefault="00943ABE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Bu tıbbi ürün metil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paraben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içerir. Metil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paraben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a</w:t>
      </w:r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lerjik reaksiyonlara (muhtemelen gecikmiş) ve olağanüstü olan </w:t>
      </w:r>
      <w:proofErr w:type="spellStart"/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bronkospazma</w:t>
      </w:r>
      <w:proofErr w:type="spellEnd"/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sebebiyet verebilir.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FF5152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4.5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Diğer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tıbbi ürünler ile etkileşimler ve diğer etkileşim şekilleri</w:t>
      </w:r>
    </w:p>
    <w:p w:rsidR="00943ABE" w:rsidRPr="002D35D8" w:rsidRDefault="00943ABE" w:rsidP="00943ABE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DİFİLİN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sym w:font="Symbol" w:char="F03B"/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diğer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ksantin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bileşikleri (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gibi),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efedrin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diğer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sempatomimetik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bronkodilatörlerle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birlikte kullanıldığında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sinerjizma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görülebilir.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Asiklovir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alkol,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alopurinol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kalsiyum kanal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blokerleri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(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diltiazem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verapamil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gibi)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simetidin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kortikosteroidler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(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hidrokortizon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prednizo</w:t>
      </w:r>
      <w:r w:rsidR="0008629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gibi)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disulfiram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östrojen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içeren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bir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hormonal</w:t>
      </w:r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kontraseptifler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fluvoksamin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grip aşısı virüsü, interferon,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makrolid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antibiyotikleri (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azitromisin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metotraksat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meksiletin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-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selektif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beta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blokerler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(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propranolol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 gibi,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pentoksifilin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propafenon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,</w:t>
      </w:r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kinolon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antibiyotikleri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(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siprofloksasin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ve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norfloksasin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gibi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),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takrin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,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tiabendazol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,</w:t>
      </w:r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tiroid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hormonları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(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örneğin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levotiroksin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),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tiklopidin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zilöton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etkin maddeleri kullanıldığında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seviyesi artabilir.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lastRenderedPageBreak/>
        <w:t>Aminoglutetimid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,</w:t>
      </w:r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barbitüratlar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(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örneğin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pentobarbital</w:t>
      </w:r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>fenobarbital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primidon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,</w:t>
      </w:r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sekobarbital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</w:rPr>
        <w:t xml:space="preserve">),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hidantoinler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(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ör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:</w:t>
      </w:r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fenitoin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),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izoproterenol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IV</w:t>
      </w:r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ketokonazol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morisizin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rifampin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sigara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içmek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(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yani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esrar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ve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tütün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),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Sarı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kantaron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sulfinpirazon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sempatomimetikler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(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örneğin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albuterol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,</w:t>
      </w:r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isoproterenol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terbutalin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)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kullanıldığında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teofilin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seviyesi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azalabilir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>.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propofolün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etkisini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antagonize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edebilir.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beta-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agonistler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kullanıldığında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kardiyovasküler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istenmeyen etkiler daha fazla olabilir. Ancak, beraber kullanıldıklarında yararlı etkileri de artabilir. 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Karbamazepin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izoniazid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kıvrım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diüretikleri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seviyesini düşürebilir ya da yükseltebilir.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Efedrin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tetrasiklinler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toksisite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riskini arttırabilir. 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Eritromisin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kullanımı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seviyesini ve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toksisite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riskini arttırırken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eritromsin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seviyesini düşürür. 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proofErr w:type="spellStart"/>
      <w:proofErr w:type="gram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Halotan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ve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teofilinin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birlikte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uygulanması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katekolamin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kaynaklı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aritmilere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neden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olabilir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.</w:t>
      </w:r>
      <w:proofErr w:type="gram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</w:p>
    <w:p w:rsidR="00943ABE" w:rsidRPr="002D35D8" w:rsidRDefault="00943ABE" w:rsidP="00943ABE">
      <w:pPr>
        <w:spacing w:line="360" w:lineRule="auto"/>
        <w:jc w:val="both"/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Ketamin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ile </w:t>
      </w:r>
      <w:proofErr w:type="spellStart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>teofilinin</w:t>
      </w:r>
      <w:proofErr w:type="spellEnd"/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birlikte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uygulanması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nöbetlere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neden</w:t>
      </w:r>
      <w:proofErr w:type="spellEnd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olabilir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>.</w:t>
      </w:r>
    </w:p>
    <w:p w:rsidR="00943ABE" w:rsidRPr="002D35D8" w:rsidRDefault="00943ABE" w:rsidP="00943ABE">
      <w:pPr>
        <w:spacing w:line="360" w:lineRule="auto"/>
        <w:jc w:val="both"/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</w:pPr>
      <w:proofErr w:type="spellStart"/>
      <w:proofErr w:type="gram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Teofilin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, </w:t>
      </w:r>
      <w:proofErr w:type="spellStart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>lityum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seviyelerini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kern w:val="0"/>
          <w:position w:val="0"/>
          <w:sz w:val="24"/>
          <w:szCs w:val="24"/>
        </w:rPr>
        <w:t>azaltabilir</w:t>
      </w:r>
      <w:proofErr w:type="spellEnd"/>
      <w:r w:rsidRPr="002D35D8">
        <w:rPr>
          <w:rStyle w:val="shorttext"/>
          <w:rFonts w:ascii="Times New Roman" w:hAnsi="Times New Roman"/>
          <w:spacing w:val="0"/>
          <w:kern w:val="0"/>
          <w:position w:val="0"/>
          <w:sz w:val="24"/>
          <w:szCs w:val="24"/>
        </w:rPr>
        <w:t>.</w:t>
      </w:r>
      <w:proofErr w:type="gramEnd"/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Nondepolarizan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kas</w:t>
      </w:r>
      <w:proofErr w:type="spellEnd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gevşetici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ilaçlar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teofilin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ile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birlikte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kullanıldığında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nöromüsküler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</w:t>
      </w:r>
      <w:proofErr w:type="spellStart"/>
      <w:r w:rsidRPr="002D35D8">
        <w:rPr>
          <w:rStyle w:val="hps"/>
          <w:rFonts w:ascii="Times New Roman" w:hAnsi="Times New Roman"/>
          <w:spacing w:val="0"/>
          <w:position w:val="0"/>
          <w:sz w:val="24"/>
          <w:szCs w:val="24"/>
        </w:rPr>
        <w:t>blokajı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 antagonize </w:t>
      </w:r>
      <w:proofErr w:type="spellStart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>edebilir</w:t>
      </w:r>
      <w:proofErr w:type="spellEnd"/>
      <w:r w:rsidRPr="002D35D8">
        <w:rPr>
          <w:rStyle w:val="shorttext"/>
          <w:rFonts w:ascii="Times New Roman" w:hAnsi="Times New Roman"/>
          <w:spacing w:val="0"/>
          <w:position w:val="0"/>
          <w:sz w:val="24"/>
          <w:szCs w:val="24"/>
        </w:rPr>
        <w:t xml:space="preserve">. 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Dihidroksipropilteofilinin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tübüler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sekresyon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onunla yarışan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probenisid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beraber kullanılması plazma yarı-ömrünü arttırdığı görülmüştür. 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4.6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Gebelik ve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aktasyon</w:t>
      </w:r>
    </w:p>
    <w:p w:rsidR="007169AF" w:rsidRPr="002D35D8" w:rsidRDefault="007169AF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Genel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avsiye:</w:t>
      </w:r>
    </w:p>
    <w:p w:rsidR="007169AF" w:rsidRPr="002D35D8" w:rsidRDefault="007169AF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Gebelik Kategorisi C’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  <w:t>dir.</w:t>
      </w:r>
    </w:p>
    <w:p w:rsidR="00943ABE" w:rsidRPr="002D35D8" w:rsidRDefault="00943ABE" w:rsidP="00943ABE">
      <w:pPr>
        <w:pStyle w:val="GvdeMetni"/>
        <w:spacing w:after="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Çocuk do</w:t>
      </w:r>
      <w:r w:rsidRPr="002D35D8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urma potansiyeli bulunan kad</w:t>
      </w:r>
      <w:r w:rsidRPr="002D35D8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nlar/Do</w:t>
      </w:r>
      <w:r w:rsidRPr="002D35D8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um kontrolü (</w:t>
      </w:r>
      <w:proofErr w:type="spellStart"/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Kontrasepsiyon</w:t>
      </w:r>
      <w:proofErr w:type="spellEnd"/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</w:p>
    <w:p w:rsidR="00943ABE" w:rsidRPr="002D35D8" w:rsidRDefault="00943ABE" w:rsidP="00943ABE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Dihidroksipropilteofilinin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çocuk doğurma potansiyeli olan kadınlarda güvenliliği kanıtlanmadığından DİFİLİN korunma yöntemi uygulamayan kadınlarda dikkatli kullanılmalıdır. </w:t>
      </w:r>
    </w:p>
    <w:p w:rsidR="00943ABE" w:rsidRPr="002D35D8" w:rsidRDefault="00943ABE" w:rsidP="00943ABE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DİFİLİN kullanan kadınlar uygun bir doğum kontrol yöntemi uygulamalıdır.</w:t>
      </w:r>
    </w:p>
    <w:p w:rsidR="00943ABE" w:rsidRPr="002D35D8" w:rsidRDefault="00943ABE" w:rsidP="00943ABE">
      <w:pPr>
        <w:keepNext/>
        <w:widowControl w:val="0"/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Gebelik dönemi</w:t>
      </w:r>
    </w:p>
    <w:p w:rsidR="00943ABE" w:rsidRPr="002D35D8" w:rsidRDefault="00943ABE" w:rsidP="00943ABE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Hayvanlar üzerinde yapılan çalışmalar, gebelik/ve-veya/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embriyonal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/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fetal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gelişim/ve-veya/doğum/ve-veya/doğum sonrası gelişim üzerindeki etkiler bakımından yetersizdir. İnsanlara yönelik potansiyel risk bilinmemektedir.</w:t>
      </w:r>
    </w:p>
    <w:p w:rsidR="00943ABE" w:rsidRPr="002D35D8" w:rsidRDefault="00943ABE" w:rsidP="00943ABE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gerekli olmadıkça gebelik döneminde kullanılmamalıdır.  </w:t>
      </w:r>
    </w:p>
    <w:p w:rsidR="00943ABE" w:rsidRPr="002D35D8" w:rsidRDefault="00943ABE" w:rsidP="00943ABE">
      <w:pPr>
        <w:spacing w:line="360" w:lineRule="auto"/>
        <w:jc w:val="both"/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kern w:val="0"/>
          <w:position w:val="0"/>
          <w:sz w:val="24"/>
          <w:szCs w:val="24"/>
          <w:lang w:val="tr-TR"/>
        </w:rPr>
        <w:lastRenderedPageBreak/>
        <w:t xml:space="preserve">Yani ilacın anneye sağlayacağı yararın bebekteki potansiyel riskten daha fazla olduğu düşünülen durumlarda ilaç kullanılmalıdır. </w:t>
      </w:r>
    </w:p>
    <w:p w:rsidR="007169AF" w:rsidRPr="002D35D8" w:rsidRDefault="007169AF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d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önemi:</w:t>
      </w:r>
    </w:p>
    <w:p w:rsidR="00943ABE" w:rsidRPr="002D35D8" w:rsidRDefault="00BC6F3C" w:rsidP="001734D5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Süte bol miktarda geçtiğinden süt veren annelerde kullanılması sakıncalıdır. </w:t>
      </w:r>
    </w:p>
    <w:p w:rsidR="005518C2" w:rsidRPr="002D35D8" w:rsidRDefault="00666AAC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Üreme yeteneği /</w:t>
      </w:r>
      <w:proofErr w:type="spellStart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Fertilite</w:t>
      </w:r>
      <w:proofErr w:type="spellEnd"/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:</w:t>
      </w:r>
      <w:r w:rsidR="00BC7314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</w:p>
    <w:p w:rsidR="00BC7314" w:rsidRPr="002D35D8" w:rsidRDefault="00BC7314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Üreme yeteneği üzerine klinik ya da klinik dışı çalışma mevcut değildir.</w:t>
      </w:r>
    </w:p>
    <w:p w:rsidR="00073968" w:rsidRPr="002D35D8" w:rsidRDefault="00073968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4.7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Araç ve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makine kullanımı üzerindeki etkiler</w:t>
      </w:r>
    </w:p>
    <w:p w:rsidR="00BC6F3C" w:rsidRPr="002D35D8" w:rsidRDefault="00BC6F3C" w:rsidP="00C52813">
      <w:pPr>
        <w:pStyle w:val="GvdeMetniGirintisi2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Araç ve makine kullanımını etkilediğine dair herhangi bir veri mevcut değildir. </w:t>
      </w:r>
    </w:p>
    <w:p w:rsidR="00C52813" w:rsidRPr="002D35D8" w:rsidRDefault="00C52813" w:rsidP="00C52813">
      <w:pPr>
        <w:pStyle w:val="GvdeMetniGirintisi2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4F77E0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4.8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073968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İstenmeyen </w:t>
      </w:r>
      <w:r w:rsidR="00ED07F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</w:t>
      </w:r>
      <w:r w:rsidR="00073968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tkiler</w:t>
      </w:r>
    </w:p>
    <w:p w:rsidR="002510EA" w:rsidRPr="002D35D8" w:rsidRDefault="002510EA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Aşağıda belirtilen yan tesirlere Difilin ampul kullanımı ile rastlanmamışsa da, ksantin bileşiklerinin farmakolojik benzerlik göstermesi nedeni ile müstahzarın kullanımı ile bu advers etkilerin ortaya çıkabileceği dikkate alınmalıdır.</w:t>
      </w:r>
    </w:p>
    <w:p w:rsidR="00666AAC" w:rsidRPr="002D35D8" w:rsidRDefault="00666AAC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Yan etkilerin sıklıklarının belirlenmesinde aşağıdaki terimler kullanılmıştır.</w:t>
      </w:r>
    </w:p>
    <w:p w:rsidR="00666AAC" w:rsidRPr="002D35D8" w:rsidRDefault="00666AA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Çok yaygın (≥1/10); yaygın (≥1/100 ila &lt;1/10); yaygın olmayan (≥1/1.000 ila &lt;1/100); seyrek</w:t>
      </w:r>
    </w:p>
    <w:p w:rsidR="007F54C8" w:rsidRPr="002D35D8" w:rsidRDefault="00666AA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(≥1/10.000 ila &lt;1/1.000); çok seyrek (&lt;1/10.000), bilinmiyor (eldeki verilerden hareketle tahmin edilemiyor).</w:t>
      </w:r>
    </w:p>
    <w:p w:rsidR="00086299" w:rsidRPr="002D35D8" w:rsidRDefault="00086299" w:rsidP="00086299">
      <w:pPr>
        <w:overflowPunct/>
        <w:spacing w:line="360" w:lineRule="auto"/>
        <w:textAlignment w:val="auto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Metabolizma ve beslenme hastal</w:t>
      </w:r>
      <w:r w:rsidRPr="002D35D8">
        <w:rPr>
          <w:rFonts w:ascii="Times New Roman" w:hAnsi="Times New Roman" w:hint="eastAsia"/>
          <w:b/>
          <w:spacing w:val="0"/>
          <w:position w:val="0"/>
          <w:sz w:val="24"/>
          <w:szCs w:val="24"/>
          <w:lang w:val="tr-TR"/>
        </w:rPr>
        <w:t>ı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klar</w:t>
      </w:r>
      <w:r w:rsidRPr="002D35D8">
        <w:rPr>
          <w:rFonts w:ascii="Times New Roman" w:hAnsi="Times New Roman" w:hint="eastAsia"/>
          <w:b/>
          <w:spacing w:val="0"/>
          <w:position w:val="0"/>
          <w:sz w:val="24"/>
          <w:szCs w:val="24"/>
          <w:lang w:val="tr-TR"/>
        </w:rPr>
        <w:t>ı</w:t>
      </w:r>
    </w:p>
    <w:p w:rsidR="00086299" w:rsidRPr="002D35D8" w:rsidRDefault="00086299" w:rsidP="00086299">
      <w:pPr>
        <w:overflowPunct/>
        <w:spacing w:line="360" w:lineRule="auto"/>
        <w:textAlignment w:val="auto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Hiperglisemi</w:t>
      </w:r>
      <w:proofErr w:type="spellEnd"/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Psikiyatrik hastalıkları</w:t>
      </w:r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Huzursuzluk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uykusuzluk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Sinir sistemi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highlight w:val="yellow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Stimülasyon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baş ağrısı</w:t>
      </w:r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irritabilite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r w:rsidR="005D460B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aşırı uyarılabilirlik</w:t>
      </w:r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kas seğirmeleri, </w:t>
      </w:r>
      <w:r w:rsidR="005D460B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yaygın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klonik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tonik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konvülsyonlar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Kardiyak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Palpitasyon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taşikardi, ekstrasistol, ateş basması, dolaşım bozukluğu ve ventriküler aritmi.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Vasküler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Hipotansiyon (düşük tansiyon)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dolaşım bozukluğu</w:t>
      </w:r>
      <w:r w:rsidR="002510EA"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Solunum, göğüs bozuklukları ve mediastinal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proofErr w:type="spellStart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Takipne</w:t>
      </w:r>
      <w:proofErr w:type="spellEnd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(çok hızlı solunum)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solunum durması.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Gastrointestinal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Bulantı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kusma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  <w:proofErr w:type="spellStart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epigastrik</w:t>
      </w:r>
      <w:proofErr w:type="spellEnd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ağrı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  <w:proofErr w:type="spellStart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diyare</w:t>
      </w:r>
      <w:proofErr w:type="spellEnd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ve hematemez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lastRenderedPageBreak/>
        <w:t>Böbrek ve idrar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Albüminüri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renal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tübüllerden</w:t>
      </w:r>
      <w:proofErr w:type="spellEnd"/>
      <w:r w:rsidR="002510E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atılımın artması, hematüri, diürez</w:t>
      </w:r>
    </w:p>
    <w:p w:rsidR="002510EA" w:rsidRPr="002D35D8" w:rsidRDefault="002510EA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b/>
          <w:spacing w:val="0"/>
          <w:kern w:val="0"/>
          <w:position w:val="0"/>
          <w:sz w:val="24"/>
          <w:szCs w:val="24"/>
          <w:lang w:val="tr-TR" w:eastAsia="en-US"/>
        </w:rPr>
        <w:t>Genel bozukluklar ve uygulama bölgesine ilişkin hastalıkları</w:t>
      </w:r>
    </w:p>
    <w:p w:rsidR="002510EA" w:rsidRPr="002D35D8" w:rsidRDefault="00C52813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Bilinmiyor: 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Ateş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sym w:font="Symbol" w:char="F02C"/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  <w:proofErr w:type="spellStart"/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dehidratasyon</w:t>
      </w:r>
      <w:proofErr w:type="spellEnd"/>
      <w:r w:rsidR="00086299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,</w:t>
      </w:r>
      <w:r w:rsidR="002510EA"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</w:t>
      </w:r>
      <w:r w:rsidR="0008629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belirgin olmayan ADH sendromu.</w:t>
      </w:r>
    </w:p>
    <w:p w:rsidR="00943ABE" w:rsidRPr="002D35D8" w:rsidRDefault="00943ABE" w:rsidP="00C5281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</w:p>
    <w:p w:rsidR="00A457F8" w:rsidRPr="002D35D8" w:rsidRDefault="00A457F8" w:rsidP="00A457F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u w:val="single"/>
          <w:lang w:val="tr-TR" w:eastAsia="en-US"/>
        </w:rPr>
      </w:pPr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u w:val="single"/>
          <w:lang w:val="tr-TR" w:eastAsia="en-US"/>
        </w:rPr>
        <w:t xml:space="preserve">Şüpheli 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u w:val="single"/>
          <w:lang w:val="tr-TR" w:eastAsia="en-US"/>
        </w:rPr>
        <w:t>advers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u w:val="single"/>
          <w:lang w:val="tr-TR" w:eastAsia="en-US"/>
        </w:rPr>
        <w:t xml:space="preserve"> reaksiyonların raporlanması</w:t>
      </w:r>
    </w:p>
    <w:p w:rsidR="00A457F8" w:rsidRPr="002D35D8" w:rsidRDefault="00A457F8" w:rsidP="00A457F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Ruhsatlandırma sonrası şüpheli ilaç 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advers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reaksiyonlarının raporlanması büyük önem taşımaktadır. Raporlama yapılması, ilacın yarar / risk dengesinin sürekli olarak izlenmesine olanak sağlar. Sağlık mesleği mensuplarının herhangi bir şüpheli 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advers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reaksiyonu Türkiye 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Farmakovijilans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 Merkezi (TÜFAM)'ne bildirmeleri gerekmektedir. (www.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titck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.gov.tr; e-posta: 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tufam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@</w:t>
      </w:r>
      <w:proofErr w:type="spell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titck</w:t>
      </w:r>
      <w:proofErr w:type="spell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 xml:space="preserve">.gov.tr; tel: 0800 314 0008; faks: </w:t>
      </w:r>
      <w:proofErr w:type="gramStart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03122183599</w:t>
      </w:r>
      <w:proofErr w:type="gramEnd"/>
      <w:r w:rsidRPr="002D35D8"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  <w:t>)</w:t>
      </w:r>
    </w:p>
    <w:p w:rsidR="00A457F8" w:rsidRPr="002D35D8" w:rsidRDefault="00A457F8" w:rsidP="00A457F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Theme="minorHAnsi" w:hAnsi="Times New Roman"/>
          <w:spacing w:val="0"/>
          <w:kern w:val="0"/>
          <w:position w:val="0"/>
          <w:sz w:val="24"/>
          <w:szCs w:val="24"/>
          <w:lang w:val="tr-TR" w:eastAsia="en-US"/>
        </w:rPr>
      </w:pPr>
    </w:p>
    <w:p w:rsidR="00073968" w:rsidRPr="002D35D8" w:rsidRDefault="00073968" w:rsidP="00C52813">
      <w:pPr>
        <w:pStyle w:val="ListeParagraf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Doz aşımı</w:t>
      </w:r>
      <w:r w:rsidR="00ED07F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</w:t>
      </w:r>
      <w:r w:rsidR="00ED07F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edavisi</w:t>
      </w:r>
    </w:p>
    <w:p w:rsidR="003D725E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Belirtiler ve Semptomlar: </w:t>
      </w:r>
    </w:p>
    <w:p w:rsidR="00A457F8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Huzursuzluk,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anoreksi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bulantı, kusma,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diyare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uykusuzluk,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irritabilite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baş ağrısı.</w:t>
      </w:r>
    </w:p>
    <w:p w:rsidR="00A457F8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Dozaşımı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sym w:font="Symbol" w:char="003B"/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ajitasyon, aşırı kusma,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dehidratasyon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şiddetli susama hissi,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tinnitus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kardiyak aritmi,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hipertermi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diaforez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jeneralize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klonik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tonik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konvülsiyonlar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 gibi ciddi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toksisitelere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neden olabilir.</w:t>
      </w:r>
    </w:p>
    <w:p w:rsidR="003D725E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Tedavi: </w:t>
      </w:r>
    </w:p>
    <w:p w:rsidR="00A457F8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Ksantin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türevi bileşikler için özel bir antidot yoktur.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Semptomatik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 ve sıvı ve elektrolit takviyesi yapılmalıdır. Mide, kusturma veya hastanın durumuna göre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gastrik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lavaj yöntemiyle boşaltılmalıdır. Uyuşmuş, komaya girmiş ve bilinci yerinde olmayan hastalara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aspirasyon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yaparken dikkatli olunmalıdır. Hava yolu açık olmalı ve gerekiyorsa hastaya oksijen verilmelidir.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Sempatomimetik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ajanlar vermekten kaçınılmalıdır. Kısa etki süreli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barbitüratlar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verilebilir.</w:t>
      </w:r>
    </w:p>
    <w:p w:rsidR="00A457F8" w:rsidRPr="002D35D8" w:rsidRDefault="00A457F8" w:rsidP="00A457F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Normal şartlarda tavsiye edilmemesine karşın çok ciddi, hayati önem taşıyan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intoksikasyon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vakalarında hastaya destekleyici ve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semptomatik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 yapılamıyorsa hastayı hemodiyalize bağlamak yararlı olabilir. </w:t>
      </w:r>
    </w:p>
    <w:p w:rsidR="00C52813" w:rsidRPr="002D35D8" w:rsidRDefault="00C52813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21AED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  FARMAKOLOJİK ÖZELLİKLER</w:t>
      </w:r>
    </w:p>
    <w:p w:rsidR="00073968" w:rsidRPr="002D35D8" w:rsidRDefault="00073968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5.1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Farmakodinamik özellikler</w:t>
      </w:r>
    </w:p>
    <w:p w:rsidR="00C52813" w:rsidRPr="002D35D8" w:rsidRDefault="0095605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Farmakoterapötik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grup:</w:t>
      </w:r>
      <w:r w:rsidR="00EB0F90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Obstrüktif</w:t>
      </w:r>
      <w:proofErr w:type="spellEnd"/>
      <w:r w:rsidR="00C52813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akciğer hastalıklarında kullanılan ilaçlar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ATC kodu: R03DA01</w:t>
      </w:r>
    </w:p>
    <w:p w:rsidR="00110FF1" w:rsidRPr="002D35D8" w:rsidRDefault="00110FF1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Dihidroksipropilteofilin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sym w:font="Symbol" w:char="F02C"/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primer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vazodilatasyondan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sorumludur. Ayrıca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periferal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vazodilatasyon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diğer düz kas gevşetici sistemleri de çok az etkiler. 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Fosfodiesteraz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enzimini kompetitif olarak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ederek etki gösterir. Bunun sonucu olarak siklik AMP düzeyi yükselir ve bronş düz kaslarının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relaksasyonu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sağlanır. DİFİLİN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sym w:font="Symbol" w:char="F02C"/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aminofilin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diğer alkali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bileşiklerine göre daha iyi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tolere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edilir ve bulantı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insidansını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azaltır.  </w:t>
      </w:r>
    </w:p>
    <w:p w:rsidR="002320F8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Dihidroksipropilteofilin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suda </w:t>
      </w:r>
      <w:proofErr w:type="spell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nötral</w:t>
      </w:r>
      <w:proofErr w:type="spell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reaksiyon vererek eriyen bir teofilin türevidir.</w:t>
      </w:r>
      <w:r w:rsidR="002320F8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 fosfodiesteraz inhibitörüdür.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 yönünden Aminofilin’e benzer ancak Aminofilin’den daha iyi absorbe olur, daha iyi tolere edilir ve daha ender olarak bulantı ve mide irritasyonuna yol açar.</w:t>
      </w:r>
    </w:p>
    <w:p w:rsidR="00BC6F3C" w:rsidRPr="002D35D8" w:rsidRDefault="002320F8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Difilin </w:t>
      </w:r>
      <w:r w:rsidR="00AB1B1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ampul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koroner damarlarda sağladığı vazodilatasyonla, myokardı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 daha iyi beslenmesini </w:t>
      </w:r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sağlar. İskelet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kasları ve </w:t>
      </w:r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diyafram üzerinde uyarıcı etkisi vardır. Ayrıca, </w:t>
      </w:r>
      <w:proofErr w:type="spellStart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bronkodilatör</w:t>
      </w:r>
      <w:proofErr w:type="spellEnd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</w:t>
      </w:r>
      <w:r w:rsidR="001734D5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diüretik</w:t>
      </w:r>
      <w:proofErr w:type="spellEnd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pulmoner</w:t>
      </w:r>
      <w:proofErr w:type="spellEnd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110FF1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damarların düz kasları üzerinde</w:t>
      </w:r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myorölaksan</w:t>
      </w:r>
      <w:proofErr w:type="spellEnd"/>
      <w:r w:rsidR="00C72FB9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       de vardır.</w:t>
      </w:r>
    </w:p>
    <w:p w:rsidR="00C52813" w:rsidRPr="002D35D8" w:rsidRDefault="00C52813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5.2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Farmakokinetik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ö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zellikler</w:t>
      </w:r>
    </w:p>
    <w:p w:rsidR="00666AAC" w:rsidRPr="002D35D8" w:rsidRDefault="00666AAC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özellikler</w:t>
      </w:r>
    </w:p>
    <w:p w:rsidR="00666AAC" w:rsidRPr="002D35D8" w:rsidRDefault="00666AAC" w:rsidP="00C528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Emilim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</w:t>
      </w:r>
      <w:r w:rsidR="00BC7314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Dihidroksipropilteofilin gastrointestinal sistemden ve İ.M. olarak uygulandığında enjeksiyonun tatbik edildiği bölgeden süratle absorbe olur.</w:t>
      </w:r>
    </w:p>
    <w:p w:rsidR="00BC7314" w:rsidRPr="002D35D8" w:rsidRDefault="00666AAC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Dağılım:</w:t>
      </w:r>
      <w:r w:rsidR="00BC7314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Plazmada yaklaşık %40’ı albümine bağlanarak taşınır. Terapötik serum seviyeleri 10-20 μg/ml’dir.</w:t>
      </w:r>
    </w:p>
    <w:p w:rsidR="00981E39" w:rsidRPr="002D35D8" w:rsidRDefault="00981E39" w:rsidP="00C52813">
      <w:pPr>
        <w:spacing w:line="360" w:lineRule="auto"/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Biyotransformasyon: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Madde teofiline metabolize olmaz </w:t>
      </w:r>
    </w:p>
    <w:p w:rsidR="00BC7314" w:rsidRPr="002D35D8" w:rsidRDefault="00666AAC" w:rsidP="00C52813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Eliminasyon: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BC7314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Eliminasyon yarı ömrü yaklaşık 2 saattir. Büyük ölçüde idrarla (değişmemiş halde) itrah edilir. Plazma yarı ömrü çocuklarda ve sigara içen kişilerde %30-50 kısalır.</w:t>
      </w:r>
    </w:p>
    <w:p w:rsidR="00981E39" w:rsidRPr="002D35D8" w:rsidRDefault="00981E39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Do</w:t>
      </w:r>
      <w:r w:rsidRPr="002D35D8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rusall</w:t>
      </w:r>
      <w:r w:rsidRPr="002D35D8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k/do</w:t>
      </w:r>
      <w:r w:rsidRPr="002D35D8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 olmayan durum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Veri bulunmamaktadır.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5.3. 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Klinik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öncesi güvenlilik verileri</w:t>
      </w:r>
    </w:p>
    <w:p w:rsidR="00BC6F3C" w:rsidRPr="002D35D8" w:rsidRDefault="00BC6F3C" w:rsidP="00C52813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Müstahzarın içerdiği etkin madde klinikte uzun yıllardır kullanılan bir maddedir. Hakkındaki </w:t>
      </w:r>
    </w:p>
    <w:p w:rsidR="00BC6F3C" w:rsidRPr="002D35D8" w:rsidRDefault="00BC6F3C" w:rsidP="00C52813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çalışmalar</w:t>
      </w:r>
      <w:proofErr w:type="gram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tamamlanmıştır. Kullanımları ile ilgili olarak görülebilecek olumsuz etkiler ilgili </w:t>
      </w:r>
    </w:p>
    <w:p w:rsidR="00BC6F3C" w:rsidRPr="002D35D8" w:rsidRDefault="00BC6F3C" w:rsidP="00C52813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bölümlerde</w:t>
      </w:r>
      <w:proofErr w:type="gramEnd"/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yer almaktadır 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(bkz. 4.4. Özel kullanım uyarıları ve önlemleri, 4.6. Gebelik ve laktasyon, 4.8. İstenmeyen etkiler,  4.9 Doz aşımı ve tedavisi).</w:t>
      </w:r>
    </w:p>
    <w:p w:rsidR="00C52813" w:rsidRPr="002D35D8" w:rsidRDefault="00C52813" w:rsidP="00C52813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66C94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FARMASÖTİK ÖZELLİKLER</w:t>
      </w:r>
    </w:p>
    <w:p w:rsidR="00956053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6.1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Yardımcı maddelerin listesi</w:t>
      </w:r>
    </w:p>
    <w:p w:rsidR="00EC26A3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Metil paraben</w:t>
      </w:r>
    </w:p>
    <w:p w:rsidR="005518C2" w:rsidRPr="002D35D8" w:rsidRDefault="00E33AFA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Enjeksiyonluk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su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F5952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6.2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Geçimsizlikler</w:t>
      </w:r>
      <w:r w:rsidR="00CF595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666AAC" w:rsidRPr="002D35D8" w:rsidRDefault="00BC6F3C" w:rsidP="00C5281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İlaç et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kileşimleri ile ilgili bilgiler için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bkz. </w:t>
      </w:r>
      <w:proofErr w:type="gramStart"/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4.5</w:t>
      </w:r>
      <w:proofErr w:type="gramEnd"/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Diğer tıbbi ürünler ile etkileşimler ve diğer etkileşim şekilleri.</w:t>
      </w:r>
    </w:p>
    <w:p w:rsidR="00BC6F3C" w:rsidRPr="002D35D8" w:rsidRDefault="00666AA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Dihidroksipropilteofilin’in 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kullanılan yardımcı maddeler ile geçimsizliği yoktur.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2D35D8" w:rsidRDefault="00073968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6.3. Raf </w:t>
      </w:r>
      <w:r w:rsidR="00666AAC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ö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mrü</w:t>
      </w:r>
    </w:p>
    <w:p w:rsidR="00956053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60 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52813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6.4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Özel saklama önlemleri</w:t>
      </w:r>
    </w:p>
    <w:p w:rsidR="00666AAC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15-30</w:t>
      </w:r>
      <w:r w:rsidR="004F2C6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°</w:t>
      </w:r>
      <w:r w:rsidR="00FA11C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302605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arasında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666AA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kuru yerde saklayınız.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F2254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6.5</w:t>
      </w:r>
      <w:r w:rsidR="00E86649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="009F42A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Ambalajın </w:t>
      </w:r>
      <w:r w:rsidR="001E2C98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niteliği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içeriği</w:t>
      </w:r>
    </w:p>
    <w:p w:rsidR="00BC6F3C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Tip I camdan (</w:t>
      </w:r>
      <w:r w:rsidR="00B565B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dayanma gücü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yüksek borosilikat cam) yapılmış, halkalı 3 ml’lik renksiz ampuller.</w:t>
      </w:r>
    </w:p>
    <w:p w:rsidR="00BC6F3C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Her bir karton kutu 6 adet 3 ml’lik ampul içermektedir. 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BC1C03" w:rsidRPr="002D35D8" w:rsidRDefault="00BC1C03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6.6</w:t>
      </w:r>
      <w:r w:rsidR="009F42A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.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Beşeri tıbbi üründen arta kalan maddelerin imhası ve diğer özel önlemler</w:t>
      </w:r>
    </w:p>
    <w:p w:rsidR="002F1127" w:rsidRPr="002D35D8" w:rsidRDefault="002F1127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Kullanılmamış olan ürünler ya da atık materyaller “Tıbbi Atıkların Kontrolü Yönetmeliği” ve Ambalaj ve Ambalaj Atıklarının Kontrolü Yönetmelik”lerine uygun olarak imha edilmelidir. </w:t>
      </w:r>
    </w:p>
    <w:p w:rsidR="001734D5" w:rsidRPr="002D35D8" w:rsidRDefault="001734D5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66C94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7. RUHSAT SAHİBİ</w:t>
      </w:r>
    </w:p>
    <w:p w:rsidR="007F387E" w:rsidRPr="002D35D8" w:rsidRDefault="007F387E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DEVA HOLDİNG A.Ş.</w:t>
      </w:r>
    </w:p>
    <w:p w:rsidR="00390400" w:rsidRPr="002D35D8" w:rsidRDefault="00390400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Halkalı Merkez Mah.</w:t>
      </w:r>
      <w:r w:rsidR="00B565B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Basın Ekspres Cad.</w:t>
      </w:r>
    </w:p>
    <w:p w:rsidR="007F54C8" w:rsidRPr="002D35D8" w:rsidRDefault="00390400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No: </w:t>
      </w:r>
      <w:r w:rsidR="00B565B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1 34303</w:t>
      </w:r>
      <w:r w:rsidR="00943ABE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Küçükçekmece </w:t>
      </w:r>
      <w:r w:rsidR="007F54C8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–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İstanbul</w:t>
      </w:r>
    </w:p>
    <w:p w:rsidR="00390400" w:rsidRPr="002D35D8" w:rsidRDefault="00390400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Tel: 0 212 692 92 92</w:t>
      </w:r>
    </w:p>
    <w:p w:rsidR="00390400" w:rsidRPr="002D35D8" w:rsidRDefault="00390400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Fax: 0 212 697 00 24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E6A82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8. RUHSAT NUMARASI</w:t>
      </w:r>
    </w:p>
    <w:p w:rsidR="001D0AF9" w:rsidRPr="002D35D8" w:rsidRDefault="00BC6F3C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57</w:t>
      </w:r>
      <w:r w:rsidR="007F387E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/</w:t>
      </w: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25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7F387E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9. İLK RUHSAT TARİHİ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/</w:t>
      </w:r>
      <w:r w:rsidR="00FF5152"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2D35D8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RUHSAT YENİLEME TARİHİ</w:t>
      </w:r>
    </w:p>
    <w:p w:rsidR="00CD0F33" w:rsidRPr="002D35D8" w:rsidRDefault="00CD0F3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İlk ruhsat tarihi: </w:t>
      </w:r>
      <w:r w:rsidR="004A066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14.0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</w:t>
      </w:r>
      <w:r w:rsidR="004A0662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.196</w:t>
      </w:r>
      <w:r w:rsidR="00BC6F3C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</w:t>
      </w:r>
    </w:p>
    <w:p w:rsidR="00CD0F33" w:rsidRPr="002D35D8" w:rsidRDefault="00CD0F3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Ruhsat yenileme tarihi:</w:t>
      </w:r>
      <w:r w:rsidR="004F2C6A" w:rsidRPr="002D35D8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28.11.2009</w:t>
      </w:r>
    </w:p>
    <w:p w:rsidR="00C52813" w:rsidRPr="002D35D8" w:rsidRDefault="00C52813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</w:pPr>
    </w:p>
    <w:p w:rsidR="00073968" w:rsidRPr="002D35D8" w:rsidRDefault="00073968" w:rsidP="00C52813">
      <w:pPr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10. KÜB’ÜN </w:t>
      </w:r>
      <w:r w:rsidR="00FF5152"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YENİLENME</w:t>
      </w:r>
      <w:r w:rsidRPr="002D35D8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TARİHİ</w:t>
      </w:r>
    </w:p>
    <w:p w:rsidR="00CF5952" w:rsidRPr="002D35D8" w:rsidRDefault="00CF5952" w:rsidP="00C52813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sectPr w:rsidR="00CF5952" w:rsidRPr="002D35D8" w:rsidSect="00566D9A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96" w:rsidRDefault="00F62196">
      <w:r>
        <w:separator/>
      </w:r>
    </w:p>
  </w:endnote>
  <w:endnote w:type="continuationSeparator" w:id="0">
    <w:p w:rsidR="00F62196" w:rsidRDefault="00F6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96" w:rsidRDefault="00EF4671" w:rsidP="00A2671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6219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62196" w:rsidRDefault="00F62196" w:rsidP="00566D9A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6766"/>
      <w:docPartObj>
        <w:docPartGallery w:val="Page Numbers (Bottom of Page)"/>
        <w:docPartUnique/>
      </w:docPartObj>
    </w:sdtPr>
    <w:sdtContent>
      <w:p w:rsidR="00F62196" w:rsidRDefault="00EF4671">
        <w:pPr>
          <w:pStyle w:val="Altbilgi"/>
          <w:jc w:val="right"/>
        </w:pPr>
        <w:r w:rsidRPr="009F1AC9">
          <w:rPr>
            <w:rFonts w:ascii="Times New Roman" w:hAnsi="Times New Roman"/>
            <w:sz w:val="24"/>
            <w:szCs w:val="24"/>
          </w:rPr>
          <w:fldChar w:fldCharType="begin"/>
        </w:r>
        <w:r w:rsidR="00F62196" w:rsidRPr="009F1AC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F1AC9">
          <w:rPr>
            <w:rFonts w:ascii="Times New Roman" w:hAnsi="Times New Roman"/>
            <w:sz w:val="24"/>
            <w:szCs w:val="24"/>
          </w:rPr>
          <w:fldChar w:fldCharType="separate"/>
        </w:r>
        <w:r w:rsidR="002D35D8">
          <w:rPr>
            <w:rFonts w:ascii="Times New Roman" w:hAnsi="Times New Roman"/>
            <w:noProof/>
            <w:sz w:val="24"/>
            <w:szCs w:val="24"/>
          </w:rPr>
          <w:t>1</w:t>
        </w:r>
        <w:r w:rsidRPr="009F1A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2196" w:rsidRPr="009F1AC9" w:rsidRDefault="00F62196" w:rsidP="009F1AC9">
    <w:pPr>
      <w:pStyle w:val="Altbilgi"/>
      <w:rPr>
        <w:rStyle w:val="SayfaNumara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96" w:rsidRDefault="00F62196">
      <w:r>
        <w:separator/>
      </w:r>
    </w:p>
  </w:footnote>
  <w:footnote w:type="continuationSeparator" w:id="0">
    <w:p w:rsidR="00F62196" w:rsidRDefault="00F62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96" w:rsidRPr="008973E5" w:rsidRDefault="00F62196" w:rsidP="009F2254">
    <w:pPr>
      <w:pStyle w:val="stbilgi"/>
      <w:spacing w:line="360" w:lineRule="auto"/>
      <w:rPr>
        <w:rFonts w:ascii="Times New Roman" w:hAnsi="Times New Roman"/>
        <w:u w:val="single"/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219"/>
    <w:multiLevelType w:val="multilevel"/>
    <w:tmpl w:val="E0944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EA1DFB"/>
    <w:multiLevelType w:val="multilevel"/>
    <w:tmpl w:val="4C46A47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D04F5E"/>
    <w:multiLevelType w:val="singleLevel"/>
    <w:tmpl w:val="2D683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C4EC5"/>
    <w:multiLevelType w:val="multilevel"/>
    <w:tmpl w:val="58AC57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29DD428C"/>
    <w:multiLevelType w:val="hybridMultilevel"/>
    <w:tmpl w:val="383808E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A6736"/>
    <w:multiLevelType w:val="multilevel"/>
    <w:tmpl w:val="79F67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172B8E"/>
    <w:multiLevelType w:val="singleLevel"/>
    <w:tmpl w:val="2DF8FE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DE08E5"/>
    <w:multiLevelType w:val="multilevel"/>
    <w:tmpl w:val="B35E9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2B7E0C"/>
    <w:multiLevelType w:val="singleLevel"/>
    <w:tmpl w:val="A5648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5E1F1630"/>
    <w:multiLevelType w:val="singleLevel"/>
    <w:tmpl w:val="C908E0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</w:rPr>
    </w:lvl>
  </w:abstractNum>
  <w:abstractNum w:abstractNumId="10">
    <w:nsid w:val="72700617"/>
    <w:multiLevelType w:val="hybridMultilevel"/>
    <w:tmpl w:val="B5BA4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0D14"/>
    <w:rsid w:val="00013B59"/>
    <w:rsid w:val="00013E54"/>
    <w:rsid w:val="00014B0A"/>
    <w:rsid w:val="000252A0"/>
    <w:rsid w:val="00030304"/>
    <w:rsid w:val="000357F8"/>
    <w:rsid w:val="00035A24"/>
    <w:rsid w:val="00052E52"/>
    <w:rsid w:val="00056B79"/>
    <w:rsid w:val="00063ACE"/>
    <w:rsid w:val="0006522E"/>
    <w:rsid w:val="00066C94"/>
    <w:rsid w:val="00066EB8"/>
    <w:rsid w:val="00073968"/>
    <w:rsid w:val="000852E4"/>
    <w:rsid w:val="00086299"/>
    <w:rsid w:val="000A0CC6"/>
    <w:rsid w:val="000A284B"/>
    <w:rsid w:val="000B1070"/>
    <w:rsid w:val="000B6163"/>
    <w:rsid w:val="000C328E"/>
    <w:rsid w:val="000C366A"/>
    <w:rsid w:val="000C4469"/>
    <w:rsid w:val="000D2C9A"/>
    <w:rsid w:val="000D6EE4"/>
    <w:rsid w:val="00103EA0"/>
    <w:rsid w:val="001048B0"/>
    <w:rsid w:val="00110FF1"/>
    <w:rsid w:val="00122D48"/>
    <w:rsid w:val="001367A0"/>
    <w:rsid w:val="00143F37"/>
    <w:rsid w:val="00147C82"/>
    <w:rsid w:val="00151AE8"/>
    <w:rsid w:val="00156029"/>
    <w:rsid w:val="0016553C"/>
    <w:rsid w:val="001734D5"/>
    <w:rsid w:val="001834A5"/>
    <w:rsid w:val="00195B07"/>
    <w:rsid w:val="001A0446"/>
    <w:rsid w:val="001B506E"/>
    <w:rsid w:val="001C60F5"/>
    <w:rsid w:val="001C6AD2"/>
    <w:rsid w:val="001C7A7D"/>
    <w:rsid w:val="001D0AF9"/>
    <w:rsid w:val="001D0E38"/>
    <w:rsid w:val="001D2CCF"/>
    <w:rsid w:val="001E2C98"/>
    <w:rsid w:val="001E5150"/>
    <w:rsid w:val="001F2D83"/>
    <w:rsid w:val="0020010A"/>
    <w:rsid w:val="00204984"/>
    <w:rsid w:val="0021184F"/>
    <w:rsid w:val="002320F8"/>
    <w:rsid w:val="00234452"/>
    <w:rsid w:val="00240EAB"/>
    <w:rsid w:val="00247069"/>
    <w:rsid w:val="002510EA"/>
    <w:rsid w:val="00257F70"/>
    <w:rsid w:val="002612A2"/>
    <w:rsid w:val="002616D4"/>
    <w:rsid w:val="0026659F"/>
    <w:rsid w:val="00266954"/>
    <w:rsid w:val="00272E04"/>
    <w:rsid w:val="00290009"/>
    <w:rsid w:val="00293A8F"/>
    <w:rsid w:val="002B0540"/>
    <w:rsid w:val="002C301A"/>
    <w:rsid w:val="002D1171"/>
    <w:rsid w:val="002D35D8"/>
    <w:rsid w:val="002E3E92"/>
    <w:rsid w:val="002E545F"/>
    <w:rsid w:val="002E7C03"/>
    <w:rsid w:val="002F1127"/>
    <w:rsid w:val="002F3B3D"/>
    <w:rsid w:val="00300E05"/>
    <w:rsid w:val="00302605"/>
    <w:rsid w:val="0030501D"/>
    <w:rsid w:val="00310FC4"/>
    <w:rsid w:val="00313806"/>
    <w:rsid w:val="00321C76"/>
    <w:rsid w:val="003274AE"/>
    <w:rsid w:val="00327821"/>
    <w:rsid w:val="00330D01"/>
    <w:rsid w:val="00335EE0"/>
    <w:rsid w:val="003531AE"/>
    <w:rsid w:val="00355519"/>
    <w:rsid w:val="00355E19"/>
    <w:rsid w:val="00361B5C"/>
    <w:rsid w:val="00361DFC"/>
    <w:rsid w:val="00364962"/>
    <w:rsid w:val="003663AF"/>
    <w:rsid w:val="00390400"/>
    <w:rsid w:val="003D4AD0"/>
    <w:rsid w:val="003D725E"/>
    <w:rsid w:val="003F0880"/>
    <w:rsid w:val="003F2697"/>
    <w:rsid w:val="003F6268"/>
    <w:rsid w:val="00402F86"/>
    <w:rsid w:val="004044E6"/>
    <w:rsid w:val="00406329"/>
    <w:rsid w:val="00407E6C"/>
    <w:rsid w:val="00414D72"/>
    <w:rsid w:val="00415D48"/>
    <w:rsid w:val="00426EFD"/>
    <w:rsid w:val="00433D56"/>
    <w:rsid w:val="00434532"/>
    <w:rsid w:val="00435702"/>
    <w:rsid w:val="0044011C"/>
    <w:rsid w:val="00443565"/>
    <w:rsid w:val="00443652"/>
    <w:rsid w:val="00460852"/>
    <w:rsid w:val="00466B24"/>
    <w:rsid w:val="004761FF"/>
    <w:rsid w:val="00481F5F"/>
    <w:rsid w:val="00483974"/>
    <w:rsid w:val="004A0662"/>
    <w:rsid w:val="004B3F2C"/>
    <w:rsid w:val="004B49D4"/>
    <w:rsid w:val="004C0FB3"/>
    <w:rsid w:val="004C2860"/>
    <w:rsid w:val="004D0706"/>
    <w:rsid w:val="004E4201"/>
    <w:rsid w:val="004F2B44"/>
    <w:rsid w:val="004F2C6A"/>
    <w:rsid w:val="004F77E0"/>
    <w:rsid w:val="00521AED"/>
    <w:rsid w:val="005518C2"/>
    <w:rsid w:val="00553087"/>
    <w:rsid w:val="00566D9A"/>
    <w:rsid w:val="0057455B"/>
    <w:rsid w:val="005776F4"/>
    <w:rsid w:val="00587C3C"/>
    <w:rsid w:val="00596A69"/>
    <w:rsid w:val="005B588C"/>
    <w:rsid w:val="005C7281"/>
    <w:rsid w:val="005D460B"/>
    <w:rsid w:val="005F551A"/>
    <w:rsid w:val="00600D14"/>
    <w:rsid w:val="00606EC5"/>
    <w:rsid w:val="00610B47"/>
    <w:rsid w:val="006214F8"/>
    <w:rsid w:val="00633DD6"/>
    <w:rsid w:val="0064542D"/>
    <w:rsid w:val="00651A21"/>
    <w:rsid w:val="00653BAC"/>
    <w:rsid w:val="00666AAC"/>
    <w:rsid w:val="006822C9"/>
    <w:rsid w:val="00690CE0"/>
    <w:rsid w:val="0069445D"/>
    <w:rsid w:val="006A00AF"/>
    <w:rsid w:val="006A049B"/>
    <w:rsid w:val="006A55B2"/>
    <w:rsid w:val="006A5D55"/>
    <w:rsid w:val="006A7E31"/>
    <w:rsid w:val="006C31F3"/>
    <w:rsid w:val="006C4015"/>
    <w:rsid w:val="006F3FA1"/>
    <w:rsid w:val="006F4D2D"/>
    <w:rsid w:val="007051A2"/>
    <w:rsid w:val="00710160"/>
    <w:rsid w:val="007169AF"/>
    <w:rsid w:val="00723020"/>
    <w:rsid w:val="0072688A"/>
    <w:rsid w:val="00726B8E"/>
    <w:rsid w:val="00731F76"/>
    <w:rsid w:val="007563F6"/>
    <w:rsid w:val="00757753"/>
    <w:rsid w:val="00772C6C"/>
    <w:rsid w:val="00774592"/>
    <w:rsid w:val="00797261"/>
    <w:rsid w:val="007C0EBC"/>
    <w:rsid w:val="007E0C1A"/>
    <w:rsid w:val="007E1ADD"/>
    <w:rsid w:val="007E3391"/>
    <w:rsid w:val="007F10B5"/>
    <w:rsid w:val="007F2AB9"/>
    <w:rsid w:val="007F387E"/>
    <w:rsid w:val="007F54C8"/>
    <w:rsid w:val="008014DE"/>
    <w:rsid w:val="00810B99"/>
    <w:rsid w:val="008125C2"/>
    <w:rsid w:val="00816A3A"/>
    <w:rsid w:val="00820350"/>
    <w:rsid w:val="00837BBB"/>
    <w:rsid w:val="00847146"/>
    <w:rsid w:val="00851CC6"/>
    <w:rsid w:val="008561F5"/>
    <w:rsid w:val="0085738B"/>
    <w:rsid w:val="00880B7A"/>
    <w:rsid w:val="008973E5"/>
    <w:rsid w:val="008A2141"/>
    <w:rsid w:val="008A5054"/>
    <w:rsid w:val="008A7470"/>
    <w:rsid w:val="008E3575"/>
    <w:rsid w:val="008F71B8"/>
    <w:rsid w:val="00906CF9"/>
    <w:rsid w:val="00913837"/>
    <w:rsid w:val="00930CC4"/>
    <w:rsid w:val="00933E65"/>
    <w:rsid w:val="00943ABE"/>
    <w:rsid w:val="009539DD"/>
    <w:rsid w:val="00956053"/>
    <w:rsid w:val="00965A3B"/>
    <w:rsid w:val="00981E39"/>
    <w:rsid w:val="00987F11"/>
    <w:rsid w:val="009A006C"/>
    <w:rsid w:val="009A663E"/>
    <w:rsid w:val="009B03FF"/>
    <w:rsid w:val="009B0DC1"/>
    <w:rsid w:val="009D31EB"/>
    <w:rsid w:val="009E65F1"/>
    <w:rsid w:val="009F1AC9"/>
    <w:rsid w:val="009F2254"/>
    <w:rsid w:val="009F42A2"/>
    <w:rsid w:val="009F47BA"/>
    <w:rsid w:val="00A016A1"/>
    <w:rsid w:val="00A043B4"/>
    <w:rsid w:val="00A04B1B"/>
    <w:rsid w:val="00A05610"/>
    <w:rsid w:val="00A06D67"/>
    <w:rsid w:val="00A241AB"/>
    <w:rsid w:val="00A25AC8"/>
    <w:rsid w:val="00A26714"/>
    <w:rsid w:val="00A31D9C"/>
    <w:rsid w:val="00A457F8"/>
    <w:rsid w:val="00A46C7A"/>
    <w:rsid w:val="00A62F83"/>
    <w:rsid w:val="00A65565"/>
    <w:rsid w:val="00A67774"/>
    <w:rsid w:val="00A677A7"/>
    <w:rsid w:val="00A97346"/>
    <w:rsid w:val="00AB1B19"/>
    <w:rsid w:val="00AC176F"/>
    <w:rsid w:val="00AD152D"/>
    <w:rsid w:val="00AD341E"/>
    <w:rsid w:val="00AE2E25"/>
    <w:rsid w:val="00AE5B94"/>
    <w:rsid w:val="00AF12E0"/>
    <w:rsid w:val="00B00C91"/>
    <w:rsid w:val="00B12FBC"/>
    <w:rsid w:val="00B130EC"/>
    <w:rsid w:val="00B3591C"/>
    <w:rsid w:val="00B365B0"/>
    <w:rsid w:val="00B53AC5"/>
    <w:rsid w:val="00B565B2"/>
    <w:rsid w:val="00B61F59"/>
    <w:rsid w:val="00B6380A"/>
    <w:rsid w:val="00B77B00"/>
    <w:rsid w:val="00B94EAF"/>
    <w:rsid w:val="00BB5BBB"/>
    <w:rsid w:val="00BB64C0"/>
    <w:rsid w:val="00BC1307"/>
    <w:rsid w:val="00BC1BE3"/>
    <w:rsid w:val="00BC1C03"/>
    <w:rsid w:val="00BC47AE"/>
    <w:rsid w:val="00BC57B6"/>
    <w:rsid w:val="00BC6F3C"/>
    <w:rsid w:val="00BC7314"/>
    <w:rsid w:val="00BD2FF7"/>
    <w:rsid w:val="00BD450E"/>
    <w:rsid w:val="00BE38E1"/>
    <w:rsid w:val="00BF03A0"/>
    <w:rsid w:val="00C12563"/>
    <w:rsid w:val="00C12870"/>
    <w:rsid w:val="00C16736"/>
    <w:rsid w:val="00C37CAD"/>
    <w:rsid w:val="00C52813"/>
    <w:rsid w:val="00C61FB6"/>
    <w:rsid w:val="00C62646"/>
    <w:rsid w:val="00C62723"/>
    <w:rsid w:val="00C65A4C"/>
    <w:rsid w:val="00C70424"/>
    <w:rsid w:val="00C70829"/>
    <w:rsid w:val="00C72FB9"/>
    <w:rsid w:val="00C97104"/>
    <w:rsid w:val="00CA19E0"/>
    <w:rsid w:val="00CB0F12"/>
    <w:rsid w:val="00CB61BE"/>
    <w:rsid w:val="00CB7E93"/>
    <w:rsid w:val="00CD0F33"/>
    <w:rsid w:val="00CE6A82"/>
    <w:rsid w:val="00CF5952"/>
    <w:rsid w:val="00CF6CE1"/>
    <w:rsid w:val="00D23FDD"/>
    <w:rsid w:val="00D27848"/>
    <w:rsid w:val="00D334CD"/>
    <w:rsid w:val="00D46480"/>
    <w:rsid w:val="00D46956"/>
    <w:rsid w:val="00D80D70"/>
    <w:rsid w:val="00D81616"/>
    <w:rsid w:val="00D9085E"/>
    <w:rsid w:val="00DB0B02"/>
    <w:rsid w:val="00DB59B4"/>
    <w:rsid w:val="00DB6ED6"/>
    <w:rsid w:val="00DD4CC7"/>
    <w:rsid w:val="00DD4DB6"/>
    <w:rsid w:val="00DE182A"/>
    <w:rsid w:val="00DE53C1"/>
    <w:rsid w:val="00DF1D54"/>
    <w:rsid w:val="00E00100"/>
    <w:rsid w:val="00E01D63"/>
    <w:rsid w:val="00E33AFA"/>
    <w:rsid w:val="00E37B9E"/>
    <w:rsid w:val="00E40AAE"/>
    <w:rsid w:val="00E456AE"/>
    <w:rsid w:val="00E62D76"/>
    <w:rsid w:val="00E7537C"/>
    <w:rsid w:val="00E76757"/>
    <w:rsid w:val="00E86649"/>
    <w:rsid w:val="00E94A7B"/>
    <w:rsid w:val="00EB0F90"/>
    <w:rsid w:val="00EC26A3"/>
    <w:rsid w:val="00ED07F9"/>
    <w:rsid w:val="00ED2EAE"/>
    <w:rsid w:val="00EE24DA"/>
    <w:rsid w:val="00EE55F3"/>
    <w:rsid w:val="00EF357C"/>
    <w:rsid w:val="00EF38F4"/>
    <w:rsid w:val="00EF4671"/>
    <w:rsid w:val="00EF5F28"/>
    <w:rsid w:val="00F063F2"/>
    <w:rsid w:val="00F204D0"/>
    <w:rsid w:val="00F206AA"/>
    <w:rsid w:val="00F43082"/>
    <w:rsid w:val="00F44A66"/>
    <w:rsid w:val="00F5320B"/>
    <w:rsid w:val="00F57BF0"/>
    <w:rsid w:val="00F62196"/>
    <w:rsid w:val="00F6614A"/>
    <w:rsid w:val="00F66C1D"/>
    <w:rsid w:val="00F73C33"/>
    <w:rsid w:val="00F74BC9"/>
    <w:rsid w:val="00F76784"/>
    <w:rsid w:val="00F851BF"/>
    <w:rsid w:val="00FA11CA"/>
    <w:rsid w:val="00FB18C3"/>
    <w:rsid w:val="00FB4146"/>
    <w:rsid w:val="00FC2885"/>
    <w:rsid w:val="00FD02E0"/>
    <w:rsid w:val="00FE6F98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5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k2">
    <w:name w:val="heading 2"/>
    <w:basedOn w:val="Normal"/>
    <w:next w:val="Normal"/>
    <w:qFormat/>
    <w:rsid w:val="009B03FF"/>
    <w:pPr>
      <w:keepNext/>
      <w:overflowPunct/>
      <w:autoSpaceDE/>
      <w:autoSpaceDN/>
      <w:adjustRightInd/>
      <w:textAlignment w:val="auto"/>
      <w:outlineLvl w:val="1"/>
    </w:pPr>
    <w:rPr>
      <w:spacing w:val="0"/>
      <w:kern w:val="0"/>
      <w:position w:val="0"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F59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F59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5952"/>
  </w:style>
  <w:style w:type="table" w:styleId="TabloKlavuzu">
    <w:name w:val="Table Grid"/>
    <w:basedOn w:val="NormalTablo"/>
    <w:rsid w:val="00CF59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CE6A82"/>
    <w:pPr>
      <w:overflowPunct/>
      <w:autoSpaceDE/>
      <w:autoSpaceDN/>
      <w:adjustRightInd/>
      <w:jc w:val="both"/>
      <w:textAlignment w:val="auto"/>
    </w:pPr>
    <w:rPr>
      <w:rFonts w:cs="Arial"/>
      <w:spacing w:val="0"/>
      <w:kern w:val="0"/>
      <w:position w:val="0"/>
      <w:lang w:val="tr-TR"/>
    </w:rPr>
  </w:style>
  <w:style w:type="paragraph" w:styleId="GvdeMetni2">
    <w:name w:val="Body Text 2"/>
    <w:basedOn w:val="Normal"/>
    <w:rsid w:val="00CE6A82"/>
    <w:pPr>
      <w:spacing w:after="120" w:line="480" w:lineRule="auto"/>
    </w:pPr>
  </w:style>
  <w:style w:type="paragraph" w:styleId="GvdeMetni">
    <w:name w:val="Body Text"/>
    <w:basedOn w:val="Normal"/>
    <w:rsid w:val="00CE6A82"/>
    <w:pPr>
      <w:spacing w:after="120"/>
    </w:pPr>
  </w:style>
  <w:style w:type="paragraph" w:styleId="GvdeMetniGirintisi3">
    <w:name w:val="Body Text Indent 3"/>
    <w:basedOn w:val="Normal"/>
    <w:rsid w:val="00F73C33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4C0FB3"/>
    <w:pPr>
      <w:spacing w:after="120"/>
      <w:ind w:left="283"/>
    </w:pPr>
  </w:style>
  <w:style w:type="paragraph" w:styleId="GvdeMetniGirintisi2">
    <w:name w:val="Body Text Indent 2"/>
    <w:basedOn w:val="Normal"/>
    <w:link w:val="GvdeMetniGirintisi2Char"/>
    <w:rsid w:val="004F77E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F77E0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ListeParagraf">
    <w:name w:val="List Paragraph"/>
    <w:basedOn w:val="Normal"/>
    <w:uiPriority w:val="34"/>
    <w:qFormat/>
    <w:rsid w:val="00E86649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9F1AC9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character" w:styleId="AklamaBavurusu">
    <w:name w:val="annotation reference"/>
    <w:basedOn w:val="VarsaylanParagrafYazTipi"/>
    <w:rsid w:val="00981E39"/>
    <w:rPr>
      <w:sz w:val="16"/>
      <w:szCs w:val="16"/>
    </w:rPr>
  </w:style>
  <w:style w:type="paragraph" w:styleId="AklamaMetni">
    <w:name w:val="annotation text"/>
    <w:basedOn w:val="Normal"/>
    <w:link w:val="AklamaMetniChar"/>
    <w:rsid w:val="00981E39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981E39"/>
    <w:rPr>
      <w:rFonts w:ascii="Arial" w:eastAsia="Times New Roman" w:hAnsi="Arial"/>
      <w:spacing w:val="20"/>
      <w:kern w:val="32"/>
      <w:position w:val="2"/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81E3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981E39"/>
    <w:rPr>
      <w:b/>
      <w:bCs/>
    </w:rPr>
  </w:style>
  <w:style w:type="paragraph" w:styleId="Dzeltme">
    <w:name w:val="Revision"/>
    <w:hidden/>
    <w:uiPriority w:val="99"/>
    <w:semiHidden/>
    <w:rsid w:val="00981E39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onMetni">
    <w:name w:val="Balloon Text"/>
    <w:basedOn w:val="Normal"/>
    <w:link w:val="BalonMetniChar"/>
    <w:rsid w:val="00981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1E39"/>
    <w:rPr>
      <w:rFonts w:ascii="Tahoma" w:eastAsia="Times New Roman" w:hAnsi="Tahoma" w:cs="Tahoma"/>
      <w:spacing w:val="20"/>
      <w:kern w:val="32"/>
      <w:position w:val="2"/>
      <w:sz w:val="16"/>
      <w:szCs w:val="16"/>
      <w:lang w:val="en-GB"/>
    </w:rPr>
  </w:style>
  <w:style w:type="character" w:customStyle="1" w:styleId="shorttext">
    <w:name w:val="short_text"/>
    <w:basedOn w:val="VarsaylanParagrafYazTipi"/>
    <w:rsid w:val="00943ABE"/>
  </w:style>
  <w:style w:type="character" w:customStyle="1" w:styleId="hps">
    <w:name w:val="hps"/>
    <w:basedOn w:val="VarsaylanParagrafYazTipi"/>
    <w:rsid w:val="0094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9A64E-450E-411E-AF72-CD0B7630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1364</Words>
  <Characters>10594</Characters>
  <Application>Microsoft Office Word</Application>
  <DocSecurity>0</DocSecurity>
  <Lines>88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TIBBİ ÜRÜNÜN ADI</vt:lpstr>
    </vt:vector>
  </TitlesOfParts>
  <Company>Deva Holding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TIBBİ ÜRÜNÜN ADI</dc:title>
  <dc:subject/>
  <dc:creator>yecoskun</dc:creator>
  <cp:keywords/>
  <dc:description/>
  <cp:lastModifiedBy>lyallak</cp:lastModifiedBy>
  <cp:revision>21</cp:revision>
  <cp:lastPrinted>2013-12-16T09:17:00Z</cp:lastPrinted>
  <dcterms:created xsi:type="dcterms:W3CDTF">2010-10-01T05:15:00Z</dcterms:created>
  <dcterms:modified xsi:type="dcterms:W3CDTF">2014-08-07T07:46:00Z</dcterms:modified>
</cp:coreProperties>
</file>